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media/rId19.png" ContentType="image/png"/>
  <Override PartName="/word/media/rId31.png" ContentType="image/png"/>
  <Override PartName="/word/media/rId43.png" ContentType="image/png"/>
  <Override PartName="/word/media/rId46.png" ContentType="image/png"/>
  <Override PartName="/word/media/rId58.png" ContentType="image/png"/>
  <Override PartName="/word/media/rId79.png" ContentType="image/png"/>
  <Override PartName="/word/media/rId89.png" ContentType="image/png"/>
  <Override PartName="/word/media/rId92.png" ContentType="image/png"/>
  <Override PartName="/word/media/rId66.png" ContentType="image/png"/>
  <Override PartName="/word/media/rId84.png" ContentType="image/png"/>
  <Override PartName="/word/media/rId34.png" ContentType="image/png"/>
  <Override PartName="/word/media/rId40.png" ContentType="image/png"/>
  <Override PartName="/word/media/rId25.png" ContentType="image/png"/>
  <Override PartName="/word/media/rId28.png" ContentType="image/png"/>
  <Override PartName="/word/media/rId71.png" ContentType="image/png"/>
  <Override PartName="/word/media/rId22.png" ContentType="image/png"/>
  <Override PartName="/word/media/rId61.png" ContentType="image/png"/>
  <Override PartName="/word/media/rId74.png" ContentType="image/png"/>
  <Override PartName="/word/media/rId49.png" ContentType="image/png"/>
  <Override PartName="/word/media/rId37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95" w:name="สอบสวนความผดทางวนย"/>
    <w:p>
      <w:pPr>
        <w:pStyle w:val="Heading1"/>
      </w:pPr>
      <w:r>
        <w:t xml:space="preserve">สอบสวนความผิดทางวินัย</w:t>
      </w:r>
    </w:p>
    <w:p>
      <w:pPr>
        <w:pStyle w:val="Compact"/>
        <w:numPr>
          <w:ilvl w:val="0"/>
          <w:numId w:val="1001"/>
        </w:numPr>
      </w:pPr>
      <w:r>
        <w:t xml:space="preserve">หลังจากรายการสืบสวนข้อเท็จจริงถูกส่งมายังขั้นตอนสอบสวนความผิดทางวินัย ระบบจะแสดงรายการสอบสวนความผิดทางวินัยในหน้า “รายการสอบสวนความผิดทางวินัย” สถานะแสดง “กำลังสอบสวน”</w:t>
      </w:r>
    </w:p>
    <w:p>
      <w:pPr>
        <w:pStyle w:val="CaptionedFigure"/>
      </w:pPr>
      <w:r>
        <w:drawing>
          <wp:inline>
            <wp:extent cx="5943600" cy="3401877"/>
            <wp:effectExtent b="0" l="0" r="0" t="0"/>
            <wp:docPr descr="รูปภาพที่ 17 – 14 รายการสอบสวนความผิดทางวินัย" title="" id="20" name="Picture"/>
            <a:graphic>
              <a:graphicData uri="http://schemas.openxmlformats.org/drawingml/2006/picture">
                <pic:pic>
                  <pic:nvPicPr>
                    <pic:cNvPr descr="images/admin/chapter17-3/1.png" id="21" name="Picture"/>
                    <pic:cNvPicPr>
                      <a:picLocks noChangeArrowheads="1" noChangeAspect="1"/>
                    </pic:cNvPicPr>
                  </pic:nvPicPr>
                  <pic:blipFill>
                    <a:blip r:embed="rId1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401877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รูปภาพที่ 17 – 14 รายการสอบสวนความผิดทางวินัย</w:t>
      </w:r>
    </w:p>
    <w:p>
      <w:pPr>
        <w:pStyle w:val="BlockText"/>
      </w:pPr>
      <w:r>
        <w:t xml:space="preserve">หมายเลข 1 ช่องสำหรับคลิกเพื่อเลือกสถานะแสดงรายการสอบสวนความผิดทางวินัย</w:t>
      </w:r>
      <w:r>
        <w:br/>
      </w:r>
      <w:r>
        <w:t xml:space="preserve">หมายเลข 2 ช่องสำหรับแสดงรายการสอบสวนความผิดทางวินัยทั้งหมด</w:t>
      </w:r>
      <w:r>
        <w:br/>
      </w:r>
      <w:r>
        <w:t xml:space="preserve">หมายเลข 3 ไอคอนสำหรับคลิกเพื่อดูรายละเอียดข้อมูลรายการสอบสวนความผิดทางวินัยและไอคอนแก้ไขรายการสอบสวนความผิดทางวินัย</w:t>
      </w:r>
      <w:r>
        <w:br/>
      </w:r>
      <w:r>
        <w:t xml:space="preserve">หมายเลข 4 ช่องสำหรับคลิกเพื่อกรอกข้อมูลค้นหารายการสอบสวนความผิดทางวินัย</w:t>
      </w:r>
    </w:p>
    <w:p>
      <w:pPr>
        <w:pStyle w:val="Compact"/>
        <w:numPr>
          <w:ilvl w:val="0"/>
          <w:numId w:val="1002"/>
        </w:numPr>
      </w:pPr>
      <w:r>
        <w:t xml:space="preserve">การเพิ่มรายละเอียดการสอบสวนความผิดทางวินัย ให้ทำการใช้เมาส์คลิก</w:t>
      </w:r>
      <w:r>
        <w:t xml:space="preserve"> </w:t>
      </w:r>
      <w:r>
        <w:drawing>
          <wp:inline>
            <wp:extent cx="173254" cy="173254"/>
            <wp:effectExtent b="0" l="0" r="0" t="0"/>
            <wp:docPr descr="close" title="" id="23" name="Picture"/>
            <a:graphic>
              <a:graphicData uri="http://schemas.openxmlformats.org/drawingml/2006/picture">
                <pic:pic>
                  <pic:nvPicPr>
                    <pic:cNvPr descr="images/button/pen-blue.png" id="24" name="Picture"/>
                    <pic:cNvPicPr>
                      <a:picLocks noChangeArrowheads="1" noChangeAspect="1"/>
                    </pic:cNvPicPr>
                  </pic:nvPicPr>
                  <pic:blipFill>
                    <a:blip r:embed="rId2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3254" cy="173254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ในรายการสอบสวนความผิดทางวินัย ที่มีสถานะ “กำลังสอบสวน” รายละเอียดเรื่องร้องเรียน (สำเนา) และสืบสวนข้อเท็จจริง (สำเนา) ที่สร้างมาจากเมนูเรื่องร้องเรียนและสืบสวนข้อเท็จจริงจะปรากฏในรายละเอียดแก้ไขการสอบสวนความผิดทางวินัยด้วย สามารถคลิก</w:t>
      </w:r>
      <w:r>
        <w:t xml:space="preserve"> </w:t>
      </w:r>
      <w:r>
        <w:drawing>
          <wp:inline>
            <wp:extent cx="1395663" cy="356134"/>
            <wp:effectExtent b="0" l="0" r="0" t="0"/>
            <wp:docPr descr="close" title="" id="26" name="Picture"/>
            <a:graphic>
              <a:graphicData uri="http://schemas.openxmlformats.org/drawingml/2006/picture">
                <pic:pic>
                  <pic:nvPicPr>
                    <pic:cNvPr descr="images/button/complaint.png" id="27" name="Picture"/>
                    <pic:cNvPicPr>
                      <a:picLocks noChangeArrowheads="1" noChangeAspect="1"/>
                    </pic:cNvPicPr>
                  </pic:nvPicPr>
                  <pic:blipFill>
                    <a:blip r:embed="rId2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95663" cy="356134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เพื่อดูรายละเอียดการร้องเรียน และคลิก</w:t>
      </w:r>
      <w:r>
        <w:t xml:space="preserve"> </w:t>
      </w:r>
      <w:r>
        <w:drawing>
          <wp:inline>
            <wp:extent cx="1520791" cy="365760"/>
            <wp:effectExtent b="0" l="0" r="0" t="0"/>
            <wp:docPr descr="close" title="" id="29" name="Picture"/>
            <a:graphic>
              <a:graphicData uri="http://schemas.openxmlformats.org/drawingml/2006/picture">
                <pic:pic>
                  <pic:nvPicPr>
                    <pic:cNvPr descr="images/button/investigatefacts.png" id="30" name="Picture"/>
                    <pic:cNvPicPr>
                      <a:picLocks noChangeArrowheads="1" noChangeAspect="1"/>
                    </pic:cNvPicPr>
                  </pic:nvPicPr>
                  <pic:blipFill>
                    <a:blip r:embed="rId2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0791" cy="36576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เพื่อดูรายละเอียดข้อมูลการสืบสวนข้อเท็จจริง จากนั้นทำการกรอกข้อมูลการสอบสวนความผิดทางวินัยให้ครบตามที่ระบบแนะนำแล้วทำการบันทึกข้อมูล</w:t>
      </w:r>
    </w:p>
    <w:p>
      <w:pPr>
        <w:pStyle w:val="CaptionedFigure"/>
      </w:pPr>
      <w:r>
        <w:drawing>
          <wp:inline>
            <wp:extent cx="5943600" cy="6037598"/>
            <wp:effectExtent b="0" l="0" r="0" t="0"/>
            <wp:docPr descr="รูปภาพที่ 17 – 15 กรอกข้อมูลการสอบสวนความผิดทางวินัย" title="" id="32" name="Picture"/>
            <a:graphic>
              <a:graphicData uri="http://schemas.openxmlformats.org/drawingml/2006/picture">
                <pic:pic>
                  <pic:nvPicPr>
                    <pic:cNvPr descr="images/admin/chapter17-3/2.png" id="33" name="Picture"/>
                    <pic:cNvPicPr>
                      <a:picLocks noChangeArrowheads="1" noChangeAspect="1"/>
                    </pic:cNvPicPr>
                  </pic:nvPicPr>
                  <pic:blipFill>
                    <a:blip r:embed="rId3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6037598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รูปภาพที่ 17 – 15 กรอกข้อมูลการสอบสวนความผิดทางวินัย</w:t>
      </w:r>
    </w:p>
    <w:p>
      <w:pPr>
        <w:pStyle w:val="BlockText"/>
      </w:pPr>
      <w:r>
        <w:t xml:space="preserve">หมายเลข 1 ปุ่มสำหรับคลิกเมนู เรื่องร้องเรียน (สำเนา)</w:t>
      </w:r>
      <w:r>
        <w:br/>
      </w:r>
      <w:r>
        <w:t xml:space="preserve">หมายเลข 2 ปุ่มสำหรับคลิกเมนู สืบสวนข้อเท็จจริง (สำเนา)</w:t>
      </w:r>
      <w:r>
        <w:br/>
      </w:r>
      <w:r>
        <w:t xml:space="preserve">หมายเลข 3 ปุ่มสำหรับคลิกเมนู สอบสวนความผิดทางวินัย</w:t>
      </w:r>
      <w:r>
        <w:br/>
      </w:r>
      <w:r>
        <w:t xml:space="preserve">หมายเลข 4 ช่องสำหรับแสดงแจ้งเตือนยังไม่ได้บันทึกข้อมูล</w:t>
      </w:r>
      <w:r>
        <w:br/>
      </w:r>
      <w:r>
        <w:t xml:space="preserve">หมายเลข 5 ช่องสำหรับคลิกเลือกผู้ถูกร้องเรียน</w:t>
      </w:r>
      <w:r>
        <w:br/>
      </w:r>
      <w:r>
        <w:t xml:space="preserve">หมายเลข 6 ปุ่มสำหรับคลิกส่งรายชื่อไปออกคำสั่งยุติเรื่อง</w:t>
      </w:r>
      <w:r>
        <w:br/>
      </w:r>
      <w:r>
        <w:t xml:space="preserve">หมายเลข 7 ตารางสำหรับแสดงข้อมูลรายชื่อผู้ถูกร้องเรียน</w:t>
      </w:r>
      <w:r>
        <w:br/>
      </w:r>
      <w:r>
        <w:t xml:space="preserve">หมายเลข 8 ไอคอนสำหรับคลิกเพื่อดูข้อมูลทะเบียนประวัติโดยย่อของผู้ถูกร้องเรียน</w:t>
      </w:r>
      <w:r>
        <w:br/>
      </w:r>
      <w:r>
        <w:t xml:space="preserve">หมายเลข 9 ไอคอนสำหรับคลิกเพื่อเพิ่มรายชื่อผู้ถูกร้องเรียน</w:t>
      </w:r>
      <w:r>
        <w:br/>
      </w:r>
      <w:r>
        <w:t xml:space="preserve">หมายเลข 10 ปุ่มสำหรับคลิกเพื่อส่งรายชื่อไปสรุปผลการพิจารณา</w:t>
      </w:r>
      <w:r>
        <w:br/>
      </w:r>
      <w:r>
        <w:t xml:space="preserve">หมายเลข 11 ปุ่มสำหรับคลิกเพื่อส่งรายชื่อไปพักราชการ</w:t>
      </w:r>
      <w:r>
        <w:br/>
      </w:r>
      <w:r>
        <w:t xml:space="preserve">หมายเลข 12 ปุ่มสำหรับคลิกเพื่อยุติเรื่องการสอบสวนความผิดทางวินัย</w:t>
      </w:r>
      <w:r>
        <w:br/>
      </w:r>
      <w:r>
        <w:t xml:space="preserve">หมายเลข 13 ช่องสำหรับคลิกเลือกวันที่มีคำสั่งให้สอบสวนความผิดทางวินัย</w:t>
      </w:r>
      <w:r>
        <w:br/>
      </w:r>
      <w:r>
        <w:t xml:space="preserve">หมายเลข 14 ช่องสำหรับคลิกเลือกวันที่รับทราบข้อกล่าวหาความผิดทางวินัย</w:t>
      </w:r>
      <w:r>
        <w:br/>
      </w:r>
      <w:r>
        <w:t xml:space="preserve">หมายเลข 15 ตารางสำหรับแสดงวันที่สอบสวนความผิดทางวินัย และขยายเวลาการสอบสวนความผิด</w:t>
      </w:r>
      <w:r>
        <w:br/>
      </w:r>
      <w:r>
        <w:t xml:space="preserve">หมายเลข 16 ไอคอนสำหรับคลิกเพื่อแสดงปฏิทินแสดงวันที่สอบสวนความผิดทางวินัย</w:t>
      </w:r>
      <w:r>
        <w:br/>
      </w:r>
      <w:r>
        <w:t xml:space="preserve">หมายเลข 17 ช่องสำหรับคลิกเลือกวันที่สรุปพยานหลักฐานการสอบสวนความผิดทางวินัย</w:t>
      </w:r>
      <w:r>
        <w:br/>
      </w:r>
      <w:r>
        <w:t xml:space="preserve">หมายเลข 18 ช่องสำหรับคลิกเลือกวันที่รายงานผลการสอบสวนความผิดทางวินัย</w:t>
      </w:r>
      <w:r>
        <w:br/>
      </w:r>
      <w:r>
        <w:t xml:space="preserve">หมายเลข 19 ตารางสำหรับแสดงรายชื่อกรรมการเพื่อพิจารณาความผิดทางวินัย</w:t>
      </w:r>
      <w:r>
        <w:br/>
      </w:r>
      <w:r>
        <w:t xml:space="preserve">หมายเลข 20 ไอคอนสำหรับคลิกเพื่อเพิ่มรายชื่อคณะกรรมการเพื่อพิจารณาความผิดทางวินัย</w:t>
      </w:r>
      <w:r>
        <w:br/>
      </w:r>
      <w:r>
        <w:t xml:space="preserve">หมายเลข 21 ไอคอนสำหรับคลิกเพื่อลบรายชื่อคณะกรรมพิจารณาความผิดทางวินัย</w:t>
      </w:r>
      <w:r>
        <w:br/>
      </w:r>
      <w:r>
        <w:t xml:space="preserve">หมายเลข 22 ช่องสำหรับคลิกเพื่อกรอกข้อมูลกรณีความผิด</w:t>
      </w:r>
      <w:r>
        <w:br/>
      </w:r>
      <w:r>
        <w:t xml:space="preserve">หมายเลข 23 ช่องสำหรับคลิกเพื่อกรอกข้อมูลสอบสวนที่</w:t>
      </w:r>
      <w:r>
        <w:br/>
      </w:r>
      <w:r>
        <w:t xml:space="preserve">หมายเลข 24 ช่องสำหรับคลิกเลือกข้อมูลระดับโทษความผิด</w:t>
      </w:r>
      <w:r>
        <w:br/>
      </w:r>
      <w:r>
        <w:t xml:space="preserve">หมายเลข 25 ช่องสำหรับคลิกเพื่อกรอกข้อมูลอ้างอิงมาตราตามกฎหมาย</w:t>
      </w:r>
      <w:r>
        <w:br/>
      </w:r>
      <w:r>
        <w:t xml:space="preserve">หมายเลข 26 ช่องสำหรับคลิกเพื่อกรอกข้อมูลสรุปพยานหลักฐานสนับสนุนข้อกล่าวหา</w:t>
      </w:r>
      <w:r>
        <w:br/>
      </w:r>
      <w:r>
        <w:t xml:space="preserve">หมายเลข 27 ช่องสำหรับคลิกเพื่อกรอกข้อมูลบันทึกถ้อยคำของผู้กล่าวหา</w:t>
      </w:r>
      <w:r>
        <w:br/>
      </w:r>
      <w:r>
        <w:t xml:space="preserve">หมายเลข 28 ช่องสำหรับคลิกเพื่อกรอกข้อมูลพยานและบันทึกถ้อยคำพยาน</w:t>
      </w:r>
      <w:r>
        <w:br/>
      </w:r>
      <w:r>
        <w:t xml:space="preserve">หมายเลข 29 ช่องสำหรับคลิกเพื่อกรอกข้อมูลผลการสอบสวน</w:t>
      </w:r>
      <w:r>
        <w:br/>
      </w:r>
      <w:r>
        <w:t xml:space="preserve">หมายเลข 30 ช่องสำหรับคลิกเพื่อเลือกผลการสอบสวนความผิดทางวินัย</w:t>
      </w:r>
      <w:r>
        <w:br/>
      </w:r>
      <w:r>
        <w:t xml:space="preserve">หมายเลข 31 ช่องสำหรับคลิกเพื่อเลือก ร้ายแรง/ไม่ร้ายแรง ในกรณี ผลการสอบสวนมีมูล</w:t>
      </w:r>
      <w:r>
        <w:br/>
      </w:r>
      <w:r>
        <w:t xml:space="preserve">หมายเลข 32 ช่องสำหรับคลิกเพื่อกรอกข้อมูลผลการพิจารณาความผิดทางวินัย</w:t>
      </w:r>
      <w:r>
        <w:br/>
      </w:r>
      <w:r>
        <w:t xml:space="preserve">หมายเลข 33 ตารางสำหรับคลิกเลือกอัปโหลดไฟล์เอกสารที่เกี่ยวข้องกับการสอบสวน</w:t>
      </w:r>
      <w:r>
        <w:br/>
      </w:r>
      <w:r>
        <w:t xml:space="preserve">หมายเลข 34 ตารางสำหรับคลิกเลือกอัปโหลดหลักฐานสนับสนุนข้อกล่าวหา</w:t>
      </w:r>
      <w:r>
        <w:br/>
      </w:r>
      <w:r>
        <w:t xml:space="preserve">หมายเลข 35 ตารางสำหรับคลิกเลือกอัปโหลดไฟล์บันทึกถ้อยคำของผู้กล่าวหา</w:t>
      </w:r>
      <w:r>
        <w:br/>
      </w:r>
      <w:r>
        <w:t xml:space="preserve">หมายเลข 36 ตารางสำหรับคลิกเลือกอัปโหลดไฟล์พยานหลักฐานและการบันทึกถ้อยคำ</w:t>
      </w:r>
      <w:r>
        <w:br/>
      </w:r>
      <w:r>
        <w:t xml:space="preserve">หมายเลข 37 ตารางสำหรับคลิกเลือกอัปโหลดไฟล์เอกสารหลักฐานอื่น ๆ</w:t>
      </w:r>
      <w:r>
        <w:br/>
      </w:r>
      <w:r>
        <w:t xml:space="preserve">หมายเลข 38 ไอคอนสำหรับคลิกเพื่ออัปโหลดไฟล์</w:t>
      </w:r>
      <w:r>
        <w:br/>
      </w:r>
      <w:r>
        <w:t xml:space="preserve">หมายเลข 39 ช่องสำหรับแสดงรายการไฟล์ที่อัปโหลดพร้อมไอคอนดาวน์โหลดไฟล์ และลบไฟล์</w:t>
      </w:r>
      <w:r>
        <w:br/>
      </w:r>
      <w:r>
        <w:t xml:space="preserve">หมายเลข 40 ปุ่มสำหรับบันทึกข้อมูลผลการพิจารณาความผิดทางวินัย</w:t>
      </w:r>
    </w:p>
    <w:p>
      <w:pPr>
        <w:pStyle w:val="Compact"/>
        <w:numPr>
          <w:ilvl w:val="0"/>
          <w:numId w:val="1003"/>
        </w:numPr>
      </w:pPr>
      <w:r>
        <w:t xml:space="preserve">การส่งรายชื่อไปพักราชการ ให้ทำการใช้เมาส์คลิกปุ่ม “ส่งไปพักราชการ” ระบบแสดงตาราง “ส่งไปพักราชการ” ให้ทำการคลิก</w:t>
      </w:r>
      <w:r>
        <w:t xml:space="preserve"> </w:t>
      </w:r>
      <w:r>
        <w:drawing>
          <wp:inline>
            <wp:extent cx="231006" cy="231006"/>
            <wp:effectExtent b="0" l="0" r="0" t="0"/>
            <wp:docPr descr="close" title="" id="35" name="Picture"/>
            <a:graphic>
              <a:graphicData uri="http://schemas.openxmlformats.org/drawingml/2006/picture">
                <pic:pic>
                  <pic:nvPicPr>
                    <pic:cNvPr descr="images/button/check-box.png" id="36" name="Picture"/>
                    <pic:cNvPicPr>
                      <a:picLocks noChangeArrowheads="1" noChangeAspect="1"/>
                    </pic:cNvPicPr>
                  </pic:nvPicPr>
                  <pic:blipFill>
                    <a:blip r:embed="rId3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1006" cy="231006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เลือกรายชื่อที่ต้องการส่งไปพักราชการ หลังจากทำการคลิกเลือกรายชื่อเสร็จสิ้นแล้ว ให้ทำการคลิกปุ่ม</w:t>
      </w:r>
      <w:r>
        <w:t xml:space="preserve"> </w:t>
      </w:r>
      <w:r>
        <w:drawing>
          <wp:inline>
            <wp:extent cx="895149" cy="279132"/>
            <wp:effectExtent b="0" l="0" r="0" t="0"/>
            <wp:docPr descr="close" title="" id="38" name="Picture"/>
            <a:graphic>
              <a:graphicData uri="http://schemas.openxmlformats.org/drawingml/2006/picture">
                <pic:pic>
                  <pic:nvPicPr>
                    <pic:cNvPr descr="images/button/send-suspend.png" id="39" name="Picture"/>
                    <pic:cNvPicPr>
                      <a:picLocks noChangeArrowheads="1" noChangeAspect="1"/>
                    </pic:cNvPicPr>
                  </pic:nvPicPr>
                  <pic:blipFill>
                    <a:blip r:embed="rId3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95149" cy="279132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ยืนยันการส่งรายชื่อไปพักราชการ รายชื่อจะถูกส่งไปยังเมนู “รายชื่อผู้ถูกพักราชการ” ทันทีที่คลิกส่งรายชื่อ หรือหากต้องการยกเลิกการส่งรายชื่อไปพักราชการให้ทำการคลิกไอคอน</w:t>
      </w:r>
      <w:r>
        <w:t xml:space="preserve"> </w:t>
      </w:r>
      <w:r>
        <w:drawing>
          <wp:inline>
            <wp:extent cx="180000" cy="194400"/>
            <wp:effectExtent b="0" l="0" r="0" t="0"/>
            <wp:docPr descr="close" title="" id="41" name="Picture"/>
            <a:graphic>
              <a:graphicData uri="http://schemas.openxmlformats.org/drawingml/2006/picture">
                <pic:pic>
                  <pic:nvPicPr>
                    <pic:cNvPr descr="images/button/close-popup.png" id="42" name="Picture"/>
                    <pic:cNvPicPr>
                      <a:picLocks noChangeArrowheads="1" noChangeAspect="1"/>
                    </pic:cNvPicPr>
                  </pic:nvPicPr>
                  <pic:blipFill>
                    <a:blip r:embed="rId4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000" cy="1944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ระบบจะทำการปิดหน้าต่างส่งไปพักราชการทันที</w:t>
      </w:r>
    </w:p>
    <w:p>
      <w:pPr>
        <w:pStyle w:val="CaptionedFigure"/>
      </w:pPr>
      <w:r>
        <w:drawing>
          <wp:inline>
            <wp:extent cx="5943600" cy="2317164"/>
            <wp:effectExtent b="0" l="0" r="0" t="0"/>
            <wp:docPr descr="รูปภาพที่ 17 – 16 การส่งรายชื่อไปพักราชการ" title="" id="44" name="Picture"/>
            <a:graphic>
              <a:graphicData uri="http://schemas.openxmlformats.org/drawingml/2006/picture">
                <pic:pic>
                  <pic:nvPicPr>
                    <pic:cNvPr descr="images/admin/chapter17-3/3.png" id="45" name="Picture"/>
                    <pic:cNvPicPr>
                      <a:picLocks noChangeArrowheads="1" noChangeAspect="1"/>
                    </pic:cNvPicPr>
                  </pic:nvPicPr>
                  <pic:blipFill>
                    <a:blip r:embed="rId4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2317164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รูปภาพที่ 17 – 16 การส่งรายชื่อไปพักราชการ</w:t>
      </w:r>
    </w:p>
    <w:p>
      <w:pPr>
        <w:pStyle w:val="BlockText"/>
      </w:pPr>
      <w:r>
        <w:t xml:space="preserve">หมายเลข 1 ช่องสำหรับคลิกเพื่อเลือกรายชื่อส่งไปพักราชการ</w:t>
      </w:r>
      <w:r>
        <w:br/>
      </w:r>
      <w:r>
        <w:t xml:space="preserve">หมายเลข 2 ช่องสำหรับแสดงรายชื่อผู้ถูกร้องเรียนทั้งหมด</w:t>
      </w:r>
      <w:r>
        <w:br/>
      </w:r>
      <w:r>
        <w:t xml:space="preserve">หมายเลข 3 ช่องสำหรับคลิกกรอกและคลิกเลือกเพื่อค้นหารายชื่อผู้ถูกร้องเรียน</w:t>
      </w:r>
      <w:r>
        <w:br/>
      </w:r>
      <w:r>
        <w:t xml:space="preserve">หมายเลข 4 ปุ่มสำหรับคลิกส่งรายชื่อไปพักราชการ</w:t>
      </w:r>
      <w:r>
        <w:br/>
      </w:r>
      <w:r>
        <w:t xml:space="preserve">หมายเลข 5 ไอคอนสำหรับคลิกเพื่อปิดหรือยกเลิกการส่งรายชื่อไปพักราชการ</w:t>
      </w:r>
    </w:p>
    <w:p>
      <w:pPr>
        <w:pStyle w:val="Compact"/>
        <w:numPr>
          <w:ilvl w:val="0"/>
          <w:numId w:val="1004"/>
        </w:numPr>
      </w:pPr>
      <w:r>
        <w:t xml:space="preserve">การส่งรายชื่อผู้ถูกร้องเรียนไปสรุปผลการพิจารณาความผิดทางวินัย ให้ทำการใช้เมาส์คลิกปุ่ม “ส่งไปสรุปผลการพิจารณา” ระบบจะทำการแจ้งเตือนให้ยืนยันส่งรายชื่อไปสรุปผลการพิจารณา ให้ทำการคลิก “ตกลง” รายการสอบสวนความผิดทางวินัย จะถูกส่งไปยังเมนู “สรุปผลการพิจารณาความผิดทางวินัย” ทันที</w:t>
      </w:r>
    </w:p>
    <w:p>
      <w:pPr>
        <w:pStyle w:val="CaptionedFigure"/>
      </w:pPr>
      <w:r>
        <w:drawing>
          <wp:inline>
            <wp:extent cx="5943600" cy="2341418"/>
            <wp:effectExtent b="0" l="0" r="0" t="0"/>
            <wp:docPr descr="รูปภาพที่ 17 – 17 ยืนยันการส่งรายชื่อไปสรุปผลพิจารณา" title="" id="47" name="Picture"/>
            <a:graphic>
              <a:graphicData uri="http://schemas.openxmlformats.org/drawingml/2006/picture">
                <pic:pic>
                  <pic:nvPicPr>
                    <pic:cNvPr descr="images/admin/chapter17-3/4.png" id="48" name="Picture"/>
                    <pic:cNvPicPr>
                      <a:picLocks noChangeArrowheads="1" noChangeAspect="1"/>
                    </pic:cNvPicPr>
                  </pic:nvPicPr>
                  <pic:blipFill>
                    <a:blip r:embed="rId4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2341418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รูปภาพที่ 17 – 17 ยืนยันการส่งรายชื่อไปสรุปผลพิจารณา</w:t>
      </w:r>
    </w:p>
    <w:p>
      <w:pPr>
        <w:pStyle w:val="Compact"/>
        <w:numPr>
          <w:ilvl w:val="0"/>
          <w:numId w:val="1005"/>
        </w:numPr>
      </w:pPr>
      <w:r>
        <w:t xml:space="preserve">การส่งรายชื่อไปออกคำสั่งยุติเรื่องในหน้าสอบสวนความผิดทางวินัย ให้ผู้ใช้งานทำการใช้เมาส์คลิกปุ่ม</w:t>
      </w:r>
      <w:r>
        <w:t xml:space="preserve"> </w:t>
      </w:r>
      <w:r>
        <w:drawing>
          <wp:inline>
            <wp:extent cx="1280160" cy="317633"/>
            <wp:effectExtent b="0" l="0" r="0" t="0"/>
            <wp:docPr descr="close" title="" id="50" name="Picture"/>
            <a:graphic>
              <a:graphicData uri="http://schemas.openxmlformats.org/drawingml/2006/picture">
                <pic:pic>
                  <pic:nvPicPr>
                    <pic:cNvPr descr="images/button/send-end.png" id="51" name="Picture"/>
                    <pic:cNvPicPr>
                      <a:picLocks noChangeArrowheads="1" noChangeAspect="1"/>
                    </pic:cNvPicPr>
                  </pic:nvPicPr>
                  <pic:blipFill>
                    <a:blip r:embed="rId4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80160" cy="317633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ระบบแสดงตาราง “ส่งรายชื่อไปออกคำสั่งยุติเรื่อง” ทำการคลิก</w:t>
      </w:r>
      <w:r>
        <w:t xml:space="preserve"> </w:t>
      </w:r>
      <w:r>
        <w:drawing>
          <wp:inline>
            <wp:extent cx="231006" cy="231006"/>
            <wp:effectExtent b="0" l="0" r="0" t="0"/>
            <wp:docPr descr="close" title="" id="52" name="Picture"/>
            <a:graphic>
              <a:graphicData uri="http://schemas.openxmlformats.org/drawingml/2006/picture">
                <pic:pic>
                  <pic:nvPicPr>
                    <pic:cNvPr descr="images/button/check-box.png" id="53" name="Picture"/>
                    <pic:cNvPicPr>
                      <a:picLocks noChangeArrowheads="1" noChangeAspect="1"/>
                    </pic:cNvPicPr>
                  </pic:nvPicPr>
                  <pic:blipFill>
                    <a:blip r:embed="rId3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1006" cy="231006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เพื่อเลือกรายชื่อผู้ถูกร้องเรียนในหน้าสอบสวนความผิดทางวินัยไปออกคำสั่งยุติเรื่อง หากทำการคลิกเลือกรายชื่อเสร็จสิ้นแล้วให้ทำการคลิกปุ่ม</w:t>
      </w:r>
      <w:r>
        <w:t xml:space="preserve"> </w:t>
      </w:r>
      <w:r>
        <w:drawing>
          <wp:inline>
            <wp:extent cx="895149" cy="279132"/>
            <wp:effectExtent b="0" l="0" r="0" t="0"/>
            <wp:docPr descr="close" title="" id="54" name="Picture"/>
            <a:graphic>
              <a:graphicData uri="http://schemas.openxmlformats.org/drawingml/2006/picture">
                <pic:pic>
                  <pic:nvPicPr>
                    <pic:cNvPr descr="images/button/send-suspend.png" id="55" name="Picture"/>
                    <pic:cNvPicPr>
                      <a:picLocks noChangeArrowheads="1" noChangeAspect="1"/>
                    </pic:cNvPicPr>
                  </pic:nvPicPr>
                  <pic:blipFill>
                    <a:blip r:embed="rId3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95149" cy="279132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และยืนยันการส่งรายชื่อไปออกคำสั่งยุติเรื่อง หรือหากผู้ใช้งานต้องการยกเลิกการส่งรายชื่อไปออกคำสั่งยุติเรื่องให้ทำการคลิกไอคอน</w:t>
      </w:r>
      <w:r>
        <w:t xml:space="preserve"> </w:t>
      </w:r>
      <w:r>
        <w:drawing>
          <wp:inline>
            <wp:extent cx="180000" cy="194400"/>
            <wp:effectExtent b="0" l="0" r="0" t="0"/>
            <wp:docPr descr="close" title="" id="56" name="Picture"/>
            <a:graphic>
              <a:graphicData uri="http://schemas.openxmlformats.org/drawingml/2006/picture">
                <pic:pic>
                  <pic:nvPicPr>
                    <pic:cNvPr descr="images/button/close-popup.png" id="57" name="Picture"/>
                    <pic:cNvPicPr>
                      <a:picLocks noChangeArrowheads="1" noChangeAspect="1"/>
                    </pic:cNvPicPr>
                  </pic:nvPicPr>
                  <pic:blipFill>
                    <a:blip r:embed="rId4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000" cy="1944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ระบบทำการปิดหน้าต่างส่งรายชื่อไปออกคำสั่งยุติเรื่องทันที</w:t>
      </w:r>
    </w:p>
    <w:p>
      <w:pPr>
        <w:pStyle w:val="CaptionedFigure"/>
      </w:pPr>
      <w:r>
        <w:drawing>
          <wp:inline>
            <wp:extent cx="5943600" cy="2785285"/>
            <wp:effectExtent b="0" l="0" r="0" t="0"/>
            <wp:docPr descr="รูปภาพที่ 17 – 18 ส่งรายชื่อไปออกคำสั่งยุติเรื่องสอบสวนความผิดทางวินัย" title="" id="59" name="Picture"/>
            <a:graphic>
              <a:graphicData uri="http://schemas.openxmlformats.org/drawingml/2006/picture">
                <pic:pic>
                  <pic:nvPicPr>
                    <pic:cNvPr descr="images/admin/chapter17-3/5.png" id="60" name="Picture"/>
                    <pic:cNvPicPr>
                      <a:picLocks noChangeArrowheads="1" noChangeAspect="1"/>
                    </pic:cNvPicPr>
                  </pic:nvPicPr>
                  <pic:blipFill>
                    <a:blip r:embed="rId5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2785285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รูปภาพที่ 17 – 18 ส่งรายชื่อไปออกคำสั่งยุติเรื่องสอบสวนความผิดทางวินัย</w:t>
      </w:r>
    </w:p>
    <w:p>
      <w:pPr>
        <w:pStyle w:val="BlockText"/>
      </w:pPr>
      <w:r>
        <w:t xml:space="preserve">หมายเลข 1 ช่องสำหรับคลิกเพื่อเลือกรายชื่อเพื่อส่งไปออกคำสั่งยุติเรื่อง</w:t>
      </w:r>
      <w:r>
        <w:br/>
      </w:r>
      <w:r>
        <w:t xml:space="preserve">หมายเลข 2 ช่องสำหรับแสดงรายชื่อผู้ถูกร้องเรียน</w:t>
      </w:r>
      <w:r>
        <w:br/>
      </w:r>
      <w:r>
        <w:t xml:space="preserve">หมายเลข 3 ช่องสำหรับคลิกกรอกและคลิกเลือกเพื่อค้นหารายชื่อผู้ถูกร้องเรียน</w:t>
      </w:r>
      <w:r>
        <w:br/>
      </w:r>
      <w:r>
        <w:t xml:space="preserve">หมายเลข 4 ไอคอนสำหรับคลิกเพื่อยกเลิกการส่งรายชื่อไปออกคำสั่งยุติเรื่อง</w:t>
      </w:r>
      <w:r>
        <w:br/>
      </w:r>
      <w:r>
        <w:t xml:space="preserve">หมายเลข 5 ปุ่มสำหรับคลิกเพื่อส่งรายชื่อไปออกคำสั่งยุติเรื่อง</w:t>
      </w:r>
    </w:p>
    <w:p>
      <w:pPr>
        <w:numPr>
          <w:ilvl w:val="0"/>
          <w:numId w:val="1006"/>
        </w:numPr>
      </w:pPr>
      <w:r>
        <w:t xml:space="preserve">การเพิ่มรายชื่อคณะกรรมการให้ทำการคลิก</w:t>
      </w:r>
      <w:r>
        <w:t xml:space="preserve"> </w:t>
      </w:r>
      <w:r>
        <w:drawing>
          <wp:inline>
            <wp:extent cx="102310" cy="102310"/>
            <wp:effectExtent b="0" l="0" r="0" t="0"/>
            <wp:docPr descr="close" title="" id="62" name="Picture"/>
            <a:graphic>
              <a:graphicData uri="http://schemas.openxmlformats.org/drawingml/2006/picture">
                <pic:pic>
                  <pic:nvPicPr>
                    <pic:cNvPr descr="images/button/plus-green.png" id="63" name="Picture"/>
                    <pic:cNvPicPr>
                      <a:picLocks noChangeArrowheads="1" noChangeAspect="1"/>
                    </pic:cNvPicPr>
                  </pic:nvPicPr>
                  <pic:blipFill>
                    <a:blip r:embed="rId6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2310" cy="10231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ในตาราง “รายชื่อกรรมการเพื่อพิจารณาความผิดทางวินัย” ระบบแสดงตาราง “เลือกรายชื่อกรรมการ” จากนั้นทำการใช้เมาส์คลิก</w:t>
      </w:r>
      <w:r>
        <w:t xml:space="preserve"> </w:t>
      </w:r>
      <w:r>
        <w:drawing>
          <wp:inline>
            <wp:extent cx="231006" cy="231006"/>
            <wp:effectExtent b="0" l="0" r="0" t="0"/>
            <wp:docPr descr="close" title="" id="64" name="Picture"/>
            <a:graphic>
              <a:graphicData uri="http://schemas.openxmlformats.org/drawingml/2006/picture">
                <pic:pic>
                  <pic:nvPicPr>
                    <pic:cNvPr descr="images/button/check-box.png" id="65" name="Picture"/>
                    <pic:cNvPicPr>
                      <a:picLocks noChangeArrowheads="1" noChangeAspect="1"/>
                    </pic:cNvPicPr>
                  </pic:nvPicPr>
                  <pic:blipFill>
                    <a:blip r:embed="rId3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1006" cy="231006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หน้ารายชื่อกรรมการเพื่อเลือกกรรมการที่ต้องการ หากทำการคลิกเลือกกรรมการเสร็จสิ้นแล้ว ให้ทำการคลิกปุ่ม</w:t>
      </w:r>
      <w:r>
        <w:t xml:space="preserve"> </w:t>
      </w:r>
      <w:r>
        <w:drawing>
          <wp:inline>
            <wp:extent cx="1010652" cy="298383"/>
            <wp:effectExtent b="0" l="0" r="0" t="0"/>
            <wp:docPr descr="close" title="" id="67" name="Picture"/>
            <a:graphic>
              <a:graphicData uri="http://schemas.openxmlformats.org/drawingml/2006/picture">
                <pic:pic>
                  <pic:nvPicPr>
                    <pic:cNvPr descr="images/button/add-name-director.png" id="68" name="Picture"/>
                    <pic:cNvPicPr>
                      <a:picLocks noChangeArrowheads="1" noChangeAspect="1"/>
                    </pic:cNvPicPr>
                  </pic:nvPicPr>
                  <pic:blipFill>
                    <a:blip r:embed="rId6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10652" cy="298383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และยืนยันการเพิ่มรายชื่อกรรมการ หรือหากต้องการยกเลิกการเพิ่มชื่อกรรมการให้ทำการคลิก</w:t>
      </w:r>
      <w:r>
        <w:t xml:space="preserve"> </w:t>
      </w:r>
      <w:r>
        <w:drawing>
          <wp:inline>
            <wp:extent cx="180000" cy="194400"/>
            <wp:effectExtent b="0" l="0" r="0" t="0"/>
            <wp:docPr descr="close" title="" id="69" name="Picture"/>
            <a:graphic>
              <a:graphicData uri="http://schemas.openxmlformats.org/drawingml/2006/picture">
                <pic:pic>
                  <pic:nvPicPr>
                    <pic:cNvPr descr="images/button/close-popup.png" id="70" name="Picture"/>
                    <pic:cNvPicPr>
                      <a:picLocks noChangeArrowheads="1" noChangeAspect="1"/>
                    </pic:cNvPicPr>
                  </pic:nvPicPr>
                  <pic:blipFill>
                    <a:blip r:embed="rId4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000" cy="1944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ระบบทำการปิดหน้าต่างเลือกรายชื่อกรรมการทันที</w:t>
      </w:r>
    </w:p>
    <w:p>
      <w:pPr>
        <w:numPr>
          <w:ilvl w:val="0"/>
          <w:numId w:val="1006"/>
        </w:numPr>
      </w:pPr>
      <w:r>
        <w:t xml:space="preserve">การเพิ่มข้อมูลกรรมการ ให้ทำการใช้เมาส์คลิก</w:t>
      </w:r>
      <w:r>
        <w:t xml:space="preserve"> </w:t>
      </w:r>
      <w:r>
        <w:drawing>
          <wp:inline>
            <wp:extent cx="288757" cy="288757"/>
            <wp:effectExtent b="0" l="0" r="0" t="0"/>
            <wp:docPr descr="close" title="" id="72" name="Picture"/>
            <a:graphic>
              <a:graphicData uri="http://schemas.openxmlformats.org/drawingml/2006/picture">
                <pic:pic>
                  <pic:nvPicPr>
                    <pic:cNvPr descr="images/button/pen-blue-outline.png" id="73" name="Picture"/>
                    <pic:cNvPicPr>
                      <a:picLocks noChangeArrowheads="1" noChangeAspect="1"/>
                    </pic:cNvPicPr>
                  </pic:nvPicPr>
                  <pic:blipFill>
                    <a:blip r:embed="rId7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8757" cy="288757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ระบบแสดงตาราง “แก้ไขข้อมูลกรรมการ” เป็นการกรอกหน้าที่ของกรรมการแต่ละคนและกรอกมติ/คำสั่ง หากทำการกรอกข้อมูลเสร็จสิ้นแล้ว ให้ทำการคลิกปุ่ม</w:t>
      </w:r>
      <w:r>
        <w:t xml:space="preserve"> </w:t>
      </w:r>
      <w:r>
        <w:drawing>
          <wp:inline>
            <wp:extent cx="360000" cy="180000"/>
            <wp:effectExtent b="0" l="0" r="0" t="0"/>
            <wp:docPr descr="close" title="" id="75" name="Picture"/>
            <a:graphic>
              <a:graphicData uri="http://schemas.openxmlformats.org/drawingml/2006/picture">
                <pic:pic>
                  <pic:nvPicPr>
                    <pic:cNvPr descr="images/button/save-blue2.png" id="76" name="Picture"/>
                    <pic:cNvPicPr>
                      <a:picLocks noChangeArrowheads="1" noChangeAspect="1"/>
                    </pic:cNvPicPr>
                  </pic:nvPicPr>
                  <pic:blipFill>
                    <a:blip r:embed="rId7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0000" cy="1800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และยืนยันการบันทึกข้อมูล และหากต้องการยกเลิกการเพิ่มข้อมูลกรรมการให้ทำการคลิก</w:t>
      </w:r>
      <w:r>
        <w:t xml:space="preserve"> </w:t>
      </w:r>
      <w:r>
        <w:drawing>
          <wp:inline>
            <wp:extent cx="180000" cy="194400"/>
            <wp:effectExtent b="0" l="0" r="0" t="0"/>
            <wp:docPr descr="close" title="" id="77" name="Picture"/>
            <a:graphic>
              <a:graphicData uri="http://schemas.openxmlformats.org/drawingml/2006/picture">
                <pic:pic>
                  <pic:nvPicPr>
                    <pic:cNvPr descr="images/button/close-popup.png" id="78" name="Picture"/>
                    <pic:cNvPicPr>
                      <a:picLocks noChangeArrowheads="1" noChangeAspect="1"/>
                    </pic:cNvPicPr>
                  </pic:nvPicPr>
                  <pic:blipFill>
                    <a:blip r:embed="rId4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000" cy="1944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ระบบจะทำการปิดหน้าต่างแก้ไขข้อมูลกรรมการทันที</w:t>
      </w:r>
    </w:p>
    <w:p>
      <w:pPr>
        <w:pStyle w:val="CaptionedFigure"/>
      </w:pPr>
      <w:r>
        <w:drawing>
          <wp:inline>
            <wp:extent cx="5943600" cy="2129327"/>
            <wp:effectExtent b="0" l="0" r="0" t="0"/>
            <wp:docPr descr="รูปภาพที่ 17 – 19 การเลือกรายชื่อกรรมการเพื่อพิจารณาความผิดทางวินัย" title="" id="80" name="Picture"/>
            <a:graphic>
              <a:graphicData uri="http://schemas.openxmlformats.org/drawingml/2006/picture">
                <pic:pic>
                  <pic:nvPicPr>
                    <pic:cNvPr descr="images/admin/chapter17-3/6.png" id="81" name="Picture"/>
                    <pic:cNvPicPr>
                      <a:picLocks noChangeArrowheads="1" noChangeAspect="1"/>
                    </pic:cNvPicPr>
                  </pic:nvPicPr>
                  <pic:blipFill>
                    <a:blip r:embed="rId7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2129327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รูปภาพที่ 17 – 19 การเลือกรายชื่อกรรมการเพื่อพิจารณาความผิดทางวินัย</w:t>
      </w:r>
    </w:p>
    <w:p>
      <w:pPr>
        <w:pStyle w:val="BlockText"/>
      </w:pPr>
      <w:r>
        <w:t xml:space="preserve">หมายเลข 1 ช่องสำหรับคลิกรายชื่อกรรมการเพื่อพิจารณาความผิดทางวินัย</w:t>
      </w:r>
      <w:r>
        <w:br/>
      </w:r>
      <w:r>
        <w:t xml:space="preserve">หมายเลข 2 ช่องสำหรับแสดงรายชื่อกรรมการ</w:t>
      </w:r>
      <w:r>
        <w:br/>
      </w:r>
      <w:r>
        <w:t xml:space="preserve">หมายเลข 3 ช่องสำหรับคลิกเพื่อกรอกข้อมูลค้นหารายชื่อกรรมการ</w:t>
      </w:r>
      <w:r>
        <w:br/>
      </w:r>
      <w:r>
        <w:t xml:space="preserve">หมายเลข 4 ปุ่มสำหรับคลิกเพื่อเพิ่มรายชื่อกรรมการพิจารณาความผิดทางวินัย</w:t>
      </w:r>
      <w:r>
        <w:br/>
      </w:r>
      <w:r>
        <w:t xml:space="preserve">หมายเลข 5 ไอคอนสำหรับคลิกเพื่อยกเลิกการเพิ่มรายชื่อกรรมการพิจารณาความผิดทางวินัย</w:t>
      </w:r>
    </w:p>
    <w:p>
      <w:pPr>
        <w:pStyle w:val="Compact"/>
        <w:numPr>
          <w:ilvl w:val="0"/>
          <w:numId w:val="1007"/>
        </w:numPr>
      </w:pPr>
      <w:r>
        <w:t xml:space="preserve">การขยายเวลาการสืบสวนข้อเท็จจริงให้ทำการใช้เมาส์คลิก</w:t>
      </w:r>
      <w:r>
        <w:t xml:space="preserve"> </w:t>
      </w:r>
      <w:r>
        <w:drawing>
          <wp:inline>
            <wp:extent cx="231006" cy="231006"/>
            <wp:effectExtent b="0" l="0" r="0" t="0"/>
            <wp:docPr descr="close" title="" id="82" name="Picture"/>
            <a:graphic>
              <a:graphicData uri="http://schemas.openxmlformats.org/drawingml/2006/picture">
                <pic:pic>
                  <pic:nvPicPr>
                    <pic:cNvPr descr="images/button/check-box.png" id="83" name="Picture"/>
                    <pic:cNvPicPr>
                      <a:picLocks noChangeArrowheads="1" noChangeAspect="1"/>
                    </pic:cNvPicPr>
                  </pic:nvPicPr>
                  <pic:blipFill>
                    <a:blip r:embed="rId3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1006" cy="231006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ช่องขยายเวลา จากนั้นทำการคลิกเลือกจำนวนวันที่ต้องการขยายเวลา หากทำการคลิกเลือกจำนวนวันที่ต้องการขยายเวลาเสร็จสิ้น ในช่องวันที่สิ้นสุดการสืบสวนจะแสดงวันที่ที่สิ้นสุดการสืบสวนตามวันที่ขยายให้อัตโนมัติ จากนั้นทำการคลิกปุ่ม เพื่อบันทึกข้อมูลการขอขยายเวลาการสืบสวนข้อเท็จจริง อีกทั้งผู้ใช้งานสามารถใช้เมาส์คลิก</w:t>
      </w:r>
      <w:r>
        <w:t xml:space="preserve"> </w:t>
      </w:r>
      <w:r>
        <w:drawing>
          <wp:inline>
            <wp:extent cx="240631" cy="240631"/>
            <wp:effectExtent b="0" l="0" r="0" t="0"/>
            <wp:docPr descr="close" title="" id="85" name="Picture"/>
            <a:graphic>
              <a:graphicData uri="http://schemas.openxmlformats.org/drawingml/2006/picture">
                <pic:pic>
                  <pic:nvPicPr>
                    <pic:cNvPr descr="images/button/calender.png" id="86" name="Picture"/>
                    <pic:cNvPicPr>
                      <a:picLocks noChangeArrowheads="1" noChangeAspect="1"/>
                    </pic:cNvPicPr>
                  </pic:nvPicPr>
                  <pic:blipFill>
                    <a:blip r:embed="rId8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0631" cy="240631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เพื่อดูวันที่การขยายเวลาการสืบสวนข้อเท็จจริง ระบบแสดงตาราง “ปฏิทินแสดงวันที่สืบสวน” และหากต้องการยกเลิกการแสดงตารางปฏิทินแสดงวันที่สืบสวนให้ทำการคลิก</w:t>
      </w:r>
      <w:r>
        <w:t xml:space="preserve"> </w:t>
      </w:r>
      <w:r>
        <w:drawing>
          <wp:inline>
            <wp:extent cx="180000" cy="194400"/>
            <wp:effectExtent b="0" l="0" r="0" t="0"/>
            <wp:docPr descr="close" title="" id="87" name="Picture"/>
            <a:graphic>
              <a:graphicData uri="http://schemas.openxmlformats.org/drawingml/2006/picture">
                <pic:pic>
                  <pic:nvPicPr>
                    <pic:cNvPr descr="images/button/close-popup.png" id="88" name="Picture"/>
                    <pic:cNvPicPr>
                      <a:picLocks noChangeArrowheads="1" noChangeAspect="1"/>
                    </pic:cNvPicPr>
                  </pic:nvPicPr>
                  <pic:blipFill>
                    <a:blip r:embed="rId4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000" cy="1944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ระบบจะทำการปิดหน้าต่างปฏิทินแสดงวันที่สืบสวนทันที ในการขยายเวลาการสอบสวน หากวันที่เริ่มสอบสวนจนถึงวันที่สิ้นสุดการสอบสวนมีระยะเวลาการสอบสวนน้อยกว่า 7 วัน ระบบจะทำการแจ้งเตือนสีแดงในช่อง “วันที่สิ้นสุดการสอบสวน” เพื่อเตือนให้ผู้ใช้งานได้รับทราบ</w:t>
      </w:r>
    </w:p>
    <w:p>
      <w:pPr>
        <w:pStyle w:val="CaptionedFigure"/>
      </w:pPr>
      <w:r>
        <w:drawing>
          <wp:inline>
            <wp:extent cx="5943600" cy="1725561"/>
            <wp:effectExtent b="0" l="0" r="0" t="0"/>
            <wp:docPr descr="รูปภาพที่ 17 – 20 ขยายเวลาการสอบสวนความผิดทางวินัย" title="" id="90" name="Picture"/>
            <a:graphic>
              <a:graphicData uri="http://schemas.openxmlformats.org/drawingml/2006/picture">
                <pic:pic>
                  <pic:nvPicPr>
                    <pic:cNvPr descr="images/admin/chapter17-3/7.png" id="91" name="Picture"/>
                    <pic:cNvPicPr>
                      <a:picLocks noChangeArrowheads="1" noChangeAspect="1"/>
                    </pic:cNvPicPr>
                  </pic:nvPicPr>
                  <pic:blipFill>
                    <a:blip r:embed="rId8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1725561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รูปภาพที่ 17 – 20 ขยายเวลาการสอบสวนความผิดทางวินัย</w:t>
      </w:r>
    </w:p>
    <w:p>
      <w:pPr>
        <w:pStyle w:val="Compact"/>
        <w:numPr>
          <w:ilvl w:val="0"/>
          <w:numId w:val="1008"/>
        </w:numPr>
      </w:pPr>
      <w:r>
        <w:t xml:space="preserve">หมายเลข 1 ช่องสำหรับคลิกเพื่อขยายเวลาการสอบสวนความผิดทางวินัย</w:t>
      </w:r>
      <w:r>
        <w:t xml:space="preserve"> </w:t>
      </w:r>
      <w:r>
        <w:t xml:space="preserve">หมายเลข 2 ช่องสำหรับคลิกเลือกจำนวนวันที่ที่ต้องการเวลาการสอบสวนความผิดทางวินัย</w:t>
      </w:r>
      <w:r>
        <w:t xml:space="preserve"> </w:t>
      </w:r>
      <w:r>
        <w:t xml:space="preserve">หมายเลข 3 ช่องสำหรับแสดงวันที่ที่สิ้นสุดการสอบสวนความผิดทางวินัยตามจำนวนวันที่คลิกเลือก</w:t>
      </w:r>
      <w:r>
        <w:t xml:space="preserve"> </w:t>
      </w:r>
      <w:r>
        <w:t xml:space="preserve">หมายเลข 4 ช่องสำหรับแสดงรายการขยายเวลาการสืบสวนข้อเท็จจริง</w:t>
      </w:r>
      <w:r>
        <w:t xml:space="preserve"> </w:t>
      </w:r>
      <w:r>
        <w:t xml:space="preserve">หมายเลข 5 ไอคอนสำหรับคลิกเพื่อดูปฏิทินแสดงวันที่เริ่มสอบสวนความผิดทางวินัยรวมถึงวันที่การขยายเวลาการสอบสวนความผิดทางวินัย</w:t>
      </w:r>
    </w:p>
    <w:p>
      <w:pPr>
        <w:pStyle w:val="CaptionedFigure"/>
      </w:pPr>
      <w:r>
        <w:drawing>
          <wp:inline>
            <wp:extent cx="5943600" cy="732583"/>
            <wp:effectExtent b="0" l="0" r="0" t="0"/>
            <wp:docPr descr="รูปภาพที่ 17 – 21 แจ้งเตือนใกล้สิ้นสุดการสอบสวนความผิดทางวินัย" title="" id="93" name="Picture"/>
            <a:graphic>
              <a:graphicData uri="http://schemas.openxmlformats.org/drawingml/2006/picture">
                <pic:pic>
                  <pic:nvPicPr>
                    <pic:cNvPr descr="images/admin/chapter17-3/8.png" id="94" name="Picture"/>
                    <pic:cNvPicPr>
                      <a:picLocks noChangeArrowheads="1" noChangeAspect="1"/>
                    </pic:cNvPicPr>
                  </pic:nvPicPr>
                  <pic:blipFill>
                    <a:blip r:embed="rId9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732583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รูปภาพที่ 17 – 21 แจ้งเตือนใกล้สิ้นสุดการสอบสวนความผิดทางวินัย</w:t>
      </w:r>
    </w:p>
    <w:p>
      <w:pPr>
        <w:pStyle w:val="BlockText"/>
      </w:pPr>
      <w:r>
        <w:t xml:space="preserve">หมายเลข 1 ช่องสำหรับคลิกเพื่อขยายเวลาการสอบสวนความผิดทางวินัย</w:t>
      </w:r>
      <w:r>
        <w:br/>
      </w:r>
      <w:r>
        <w:t xml:space="preserve">หมายเลข 2 ช่องสำหรับแสดงวันที่เริ่มการสอบสวนความผิดทางวินัย</w:t>
      </w:r>
      <w:r>
        <w:br/>
      </w:r>
      <w:r>
        <w:t xml:space="preserve">หมายเลข 3 ช่องสำหรับแสดงวันที่สิ้นสุดการสอบสวน</w:t>
      </w:r>
      <w:r>
        <w:br/>
      </w:r>
      <w:r>
        <w:t xml:space="preserve">หมายเลข 4 ไอคอนสำหรับคลิกเพื่อดูปฏิทินแสดงวันที่เริ่มสอบสวนความผิดทางวินัยรวมถึงวันที่การขยายเวลาการสอบสวนความผิดทางวินัย</w:t>
      </w:r>
    </w:p>
    <w:bookmarkEnd w:id="95"/>
    <w:sectPr w:rsidR="003260F2" w:rsidRPr="00C57199">
      <w:headerReference r:id="rId9" w:type="default"/>
      <w:footerReference r:id="rId10" w:type="defaul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H Sarabun New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rdiaUPC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-321508193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118202C3" w14:textId="6E2DBD76" w:rsidR="00CA5260" w:rsidRDefault="00CA5260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1437392B" w14:textId="77777777" w:rsidR="00CA5260" w:rsidRDefault="00CA5260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944DD25" w14:textId="01B6C574" w:rsidR="00C57199" w:rsidRPr="00C57199" w:rsidRDefault="00C57199" w:rsidP="00C57199">
    <w:pPr>
      <w:pStyle w:val="Header"/>
      <w:jc w:val="right"/>
    </w:pPr>
    <w:r>
      <w:rPr>
        <w:noProof/>
      </w:rPr>
      <w:drawing>
        <wp:anchor distT="0" distB="0" distL="114300" distR="114300" simplePos="0" relativeHeight="251657216" behindDoc="0" locked="0" layoutInCell="1" allowOverlap="1" wp14:anchorId="5D05B105" wp14:editId="6E87CCB8">
          <wp:simplePos x="0" y="0"/>
          <wp:positionH relativeFrom="column">
            <wp:posOffset>-428625</wp:posOffset>
          </wp:positionH>
          <wp:positionV relativeFrom="paragraph">
            <wp:posOffset>-171450</wp:posOffset>
          </wp:positionV>
          <wp:extent cx="622300" cy="622300"/>
          <wp:effectExtent l="0" t="0" r="6350" b="6350"/>
          <wp:wrapThrough wrapText="bothSides">
            <wp:wrapPolygon edited="0">
              <wp:start x="5290" y="0"/>
              <wp:lineTo x="0" y="3967"/>
              <wp:lineTo x="0" y="17192"/>
              <wp:lineTo x="5290" y="21159"/>
              <wp:lineTo x="15869" y="21159"/>
              <wp:lineTo x="21159" y="17192"/>
              <wp:lineTo x="21159" y="3967"/>
              <wp:lineTo x="15869" y="0"/>
              <wp:lineTo x="5290" y="0"/>
            </wp:wrapPolygon>
          </wp:wrapThrough>
          <wp:docPr id="23" name="Picture 2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0" name="Logo BMA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22300" cy="6223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cs/>
      </w:rPr>
      <w:tab/>
    </w:r>
    <w:r>
      <w:rPr>
        <w:cs/>
      </w:rPr>
      <w:tab/>
    </w:r>
    <w:r w:rsidRPr="00C57199">
      <w:rPr>
        <w:cs/>
      </w:rPr>
      <w:t>เอกสารข้อกำหนดออกแบบซอฟต์แวร์</w:t>
    </w:r>
    <w:r w:rsidRPr="00C57199">
      <w:br/>
    </w:r>
    <w:r w:rsidRPr="00C57199">
      <w:tab/>
      <w:t xml:space="preserve">                                                                                                                  </w:t>
    </w:r>
    <w:r w:rsidRPr="00C57199">
      <w:rPr>
        <w:cs/>
      </w:rPr>
      <w:t>เวอร์ชั่น</w:t>
    </w:r>
    <w:r w:rsidRPr="00C57199">
      <w:t>: 1.0</w:t>
    </w:r>
    <w:r w:rsidR="00000000">
      <w:rPr>
        <w:noProof/>
      </w:rPr>
      <w:pict w14:anchorId="6E668B21">
        <v:shapetype id="_x0000_t32" coordsize="21600,21600" o:spt="32" o:oned="t" path="m,l21600,21600e" filled="f">
          <v:path arrowok="t" fillok="f" o:connecttype="none"/>
          <o:lock v:ext="edit" shapetype="t"/>
        </v:shapetype>
        <v:shape id="AutoShape 9" o:spid="_x0000_s1025" type="#_x0000_t32" style="position:absolute;left:0;text-align:left;margin-left:0;margin-top:0;width:0;height:806.25pt;z-index:251658240;visibility:visible;mso-wrap-style:square;mso-width-percent:0;mso-height-percent:1020;mso-left-percent:970;mso-wrap-distance-left:9pt;mso-wrap-distance-top:0;mso-wrap-distance-right:9pt;mso-wrap-distance-bottom:0;mso-position-horizontal-relative:page;mso-position-vertical:center;mso-position-vertical-relative:page;mso-width-percent:0;mso-height-percent:1020;mso-left-percent:970;mso-width-relative:right-margin-area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" strokecolor="#4f81bd [3204]" strokeweight="1pt">
          <w10:wrap anchorx="page" anchory="page"/>
        </v:shape>
      </w:pict>
    </w:r>
  </w:p>
</w:hdr>
</file>

<file path=word/numbering.xml><?xml version="1.0" encoding="utf-8"?>
<w:numbering xmlns:aink="http://schemas.microsoft.com/office/drawing/2016/ink" xmlns:am3d="http://schemas.microsoft.com/office/drawing/2017/model3d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="http://schemas.openxmlformats.org/officeDocument/2006/math" xmlns:mc="http://schemas.openxmlformats.org/markup-compatibility/2006" xmlns:o="urn:schemas-microsoft-com:office:office" xmlns:oel="http://schemas.microsoft.com/office/2019/extlst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:w16du="http://schemas.microsoft.com/office/word/2023/wordml/word16du" xmlns:w16sdtdh="http://schemas.microsoft.com/office/word/2020/wordml/sdtdatahash" xmlns:w16se="http://schemas.microsoft.com/office/word/2015/wordml/symex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16se w16cid w16 w16cex w16sdtdh w16du wp14">
  <w:abstractNum w15:restartNumberingAfterBreak="0" w:abstractNumId="0">
    <w:nsid w:val="FFFFFF7C"/>
    <w:multiLevelType w:val="singleLevel"/>
    <w:tmpl w:val="75B053EC"/>
    <w:lvl w:ilvl="0">
      <w:start w:val="1"/>
      <w:numFmt w:val="decimal"/>
      <w:lvlText w:val="%1."/>
      <w:lvlJc w:val="left"/>
      <w:pPr>
        <w:tabs>
          <w:tab w:pos="1492" w:val="num"/>
        </w:tabs>
        <w:ind w:hanging="360" w:left="1492"/>
      </w:pPr>
    </w:lvl>
  </w:abstractNum>
  <w:abstractNum w15:restartNumberingAfterBreak="0" w:abstractNumId="1">
    <w:nsid w:val="FFFFFF7D"/>
    <w:multiLevelType w:val="singleLevel"/>
    <w:tmpl w:val="145673C4"/>
    <w:lvl w:ilvl="0">
      <w:start w:val="1"/>
      <w:numFmt w:val="decimal"/>
      <w:lvlText w:val="%1."/>
      <w:lvlJc w:val="left"/>
      <w:pPr>
        <w:tabs>
          <w:tab w:pos="1209" w:val="num"/>
        </w:tabs>
        <w:ind w:hanging="360" w:left="1209"/>
      </w:pPr>
    </w:lvl>
  </w:abstractNum>
  <w:abstractNum w15:restartNumberingAfterBreak="0" w:abstractNumId="2">
    <w:nsid w:val="FFFFFF7E"/>
    <w:multiLevelType w:val="singleLevel"/>
    <w:tmpl w:val="AD0E8DAA"/>
    <w:lvl w:ilvl="0">
      <w:start w:val="1"/>
      <w:numFmt w:val="decimal"/>
      <w:lvlText w:val="%1."/>
      <w:lvlJc w:val="left"/>
      <w:pPr>
        <w:tabs>
          <w:tab w:pos="926" w:val="num"/>
        </w:tabs>
        <w:ind w:hanging="360" w:left="926"/>
      </w:pPr>
    </w:lvl>
  </w:abstractNum>
  <w:abstractNum w15:restartNumberingAfterBreak="0" w:abstractNumId="3">
    <w:nsid w:val="FFFFFF7F"/>
    <w:multiLevelType w:val="singleLevel"/>
    <w:tmpl w:val="77A6A822"/>
    <w:lvl w:ilvl="0">
      <w:start w:val="1"/>
      <w:numFmt w:val="decimal"/>
      <w:lvlText w:val="%1."/>
      <w:lvlJc w:val="left"/>
      <w:pPr>
        <w:tabs>
          <w:tab w:pos="643" w:val="num"/>
        </w:tabs>
        <w:ind w:hanging="360" w:left="643"/>
      </w:pPr>
    </w:lvl>
  </w:abstractNum>
  <w:abstractNum w15:restartNumberingAfterBreak="0" w:abstractNumId="4">
    <w:nsid w:val="FFFFFF80"/>
    <w:multiLevelType w:val="singleLevel"/>
    <w:tmpl w:val="6A40BADA"/>
    <w:lvl w:ilvl="0">
      <w:start w:val="1"/>
      <w:numFmt w:val="bullet"/>
      <w:lvlText w:val=""/>
      <w:lvlJc w:val="left"/>
      <w:pPr>
        <w:tabs>
          <w:tab w:pos="1492" w:val="num"/>
        </w:tabs>
        <w:ind w:hanging="360" w:left="1492"/>
      </w:pPr>
      <w:rPr>
        <w:rFonts w:ascii="Symbol" w:hAnsi="Symbol" w:hint="default"/>
      </w:rPr>
    </w:lvl>
  </w:abstractNum>
  <w:abstractNum w15:restartNumberingAfterBreak="0" w:abstractNumId="5">
    <w:nsid w:val="FFFFFF81"/>
    <w:multiLevelType w:val="singleLevel"/>
    <w:tmpl w:val="2CA043B4"/>
    <w:lvl w:ilvl="0">
      <w:start w:val="1"/>
      <w:numFmt w:val="bullet"/>
      <w:lvlText w:val=""/>
      <w:lvlJc w:val="left"/>
      <w:pPr>
        <w:tabs>
          <w:tab w:pos="1209" w:val="num"/>
        </w:tabs>
        <w:ind w:hanging="360" w:left="1209"/>
      </w:pPr>
      <w:rPr>
        <w:rFonts w:ascii="Symbol" w:hAnsi="Symbol" w:hint="default"/>
      </w:rPr>
    </w:lvl>
  </w:abstractNum>
  <w:abstractNum w15:restartNumberingAfterBreak="0" w:abstractNumId="6">
    <w:nsid w:val="FFFFFF82"/>
    <w:multiLevelType w:val="singleLevel"/>
    <w:tmpl w:val="5E86BCB2"/>
    <w:lvl w:ilvl="0">
      <w:start w:val="1"/>
      <w:numFmt w:val="bullet"/>
      <w:lvlText w:val=""/>
      <w:lvlJc w:val="left"/>
      <w:pPr>
        <w:tabs>
          <w:tab w:pos="926" w:val="num"/>
        </w:tabs>
        <w:ind w:hanging="360" w:left="926"/>
      </w:pPr>
      <w:rPr>
        <w:rFonts w:ascii="Symbol" w:hAnsi="Symbol" w:hint="default"/>
      </w:rPr>
    </w:lvl>
  </w:abstractNum>
  <w:abstractNum w15:restartNumberingAfterBreak="0" w:abstractNumId="7">
    <w:nsid w:val="FFFFFF83"/>
    <w:multiLevelType w:val="singleLevel"/>
    <w:tmpl w:val="C248B88E"/>
    <w:lvl w:ilvl="0">
      <w:start w:val="1"/>
      <w:numFmt w:val="bullet"/>
      <w:lvlText w:val=""/>
      <w:lvlJc w:val="left"/>
      <w:pPr>
        <w:tabs>
          <w:tab w:pos="643" w:val="num"/>
        </w:tabs>
        <w:ind w:hanging="360" w:left="643"/>
      </w:pPr>
      <w:rPr>
        <w:rFonts w:ascii="Symbol" w:hAnsi="Symbol" w:hint="default"/>
      </w:rPr>
    </w:lvl>
  </w:abstractNum>
  <w:abstractNum w15:restartNumberingAfterBreak="0" w:abstractNumId="8">
    <w:nsid w:val="FFFFFF88"/>
    <w:multiLevelType w:val="singleLevel"/>
    <w:tmpl w:val="BF443886"/>
    <w:lvl w:ilvl="0">
      <w:start w:val="1"/>
      <w:numFmt w:val="decimal"/>
      <w:lvlText w:val="%1."/>
      <w:lvlJc w:val="left"/>
      <w:pPr>
        <w:tabs>
          <w:tab w:pos="360" w:val="num"/>
        </w:tabs>
        <w:ind w:hanging="360" w:left="360"/>
      </w:pPr>
    </w:lvl>
  </w:abstractNum>
  <w:abstractNum w15:restartNumberingAfterBreak="0" w:abstractNumId="9">
    <w:nsid w:val="FFFFFF89"/>
    <w:multiLevelType w:val="singleLevel"/>
    <w:tmpl w:val="D4A417D2"/>
    <w:lvl w:ilvl="0">
      <w:start w:val="1"/>
      <w:numFmt w:val="bullet"/>
      <w:lvlText w:val=""/>
      <w:lvlJc w:val="left"/>
      <w:pPr>
        <w:tabs>
          <w:tab w:pos="360" w:val="num"/>
        </w:tabs>
        <w:ind w:hanging="360" w:left="360"/>
      </w:pPr>
      <w:rPr>
        <w:rFonts w:ascii="Symbol" w:hAnsi="Symbol" w:hint="default"/>
      </w:rPr>
    </w:lvl>
  </w:abstractNum>
  <w:abstractNum w15:restartNumberingAfterBreak="0" w:abstractNumId="10">
    <w:nsid w:val="0C3F09ED"/>
    <w:multiLevelType w:val="multilevel"/>
    <w:tmpl w:val="CD40BF9A"/>
    <w:styleLink w:val="BulletedList"/>
    <w:lvl w:ilvl="0">
      <w:start w:val="1"/>
      <w:numFmt w:val="bullet"/>
      <w:lvlText w:val=""/>
      <w:lvlJc w:val="left"/>
      <w:pPr>
        <w:ind w:hanging="245" w:left="245"/>
      </w:pPr>
      <w:rPr>
        <w:rFonts w:ascii="Wingdings 2" w:hAnsi="Wingdings 2" w:hint="default"/>
        <w:color w:themeColor="accent1" w:val="4F81BD"/>
        <w:sz w:val="16"/>
      </w:rPr>
    </w:lvl>
    <w:lvl w:ilvl="1">
      <w:start w:val="1"/>
      <w:numFmt w:val="bullet"/>
      <w:lvlText w:val=""/>
      <w:lvlJc w:val="left"/>
      <w:pPr>
        <w:ind w:hanging="245" w:left="490"/>
      </w:pPr>
      <w:rPr>
        <w:rFonts w:ascii="Symbol" w:hAnsi="Symbol" w:hint="default"/>
        <w:color w:themeColor="accent1" w:val="4F81BD"/>
        <w:sz w:val="18"/>
      </w:rPr>
    </w:lvl>
    <w:lvl w:ilvl="2">
      <w:start w:val="1"/>
      <w:numFmt w:val="bullet"/>
      <w:lvlText w:val=""/>
      <w:lvlJc w:val="left"/>
      <w:pPr>
        <w:ind w:hanging="245" w:left="735"/>
      </w:pPr>
      <w:rPr>
        <w:rFonts w:ascii="Symbol" w:hAnsi="Symbol" w:hint="default"/>
        <w:color w:themeColor="accent1" w:val="4F81BD"/>
        <w:sz w:val="18"/>
      </w:rPr>
    </w:lvl>
    <w:lvl w:ilvl="3">
      <w:start w:val="1"/>
      <w:numFmt w:val="bullet"/>
      <w:lvlText w:val=""/>
      <w:lvlJc w:val="left"/>
      <w:pPr>
        <w:ind w:hanging="245" w:left="980"/>
      </w:pPr>
      <w:rPr>
        <w:rFonts w:ascii="Symbol" w:hAnsi="Symbol" w:hint="default"/>
        <w:color w:themeColor="accent1" w:themeShade="BF" w:val="365F91"/>
        <w:sz w:val="12"/>
      </w:rPr>
    </w:lvl>
    <w:lvl w:ilvl="4">
      <w:start w:val="1"/>
      <w:numFmt w:val="bullet"/>
      <w:lvlText w:val=""/>
      <w:lvlJc w:val="left"/>
      <w:pPr>
        <w:ind w:hanging="245" w:left="1225"/>
      </w:pPr>
      <w:rPr>
        <w:rFonts w:ascii="Symbol" w:hAnsi="Symbol" w:hint="default"/>
        <w:color w:themeColor="accent1" w:themeShade="BF" w:val="365F91"/>
        <w:sz w:val="12"/>
      </w:rPr>
    </w:lvl>
    <w:lvl w:ilvl="5">
      <w:start w:val="1"/>
      <w:numFmt w:val="bullet"/>
      <w:lvlText w:val=""/>
      <w:lvlJc w:val="left"/>
      <w:pPr>
        <w:ind w:hanging="245" w:left="1470"/>
      </w:pPr>
      <w:rPr>
        <w:rFonts w:ascii="Symbol" w:hAnsi="Symbol" w:hint="default"/>
        <w:color w:themeColor="accent6" w:val="F79646"/>
        <w:sz w:val="12"/>
      </w:rPr>
    </w:lvl>
    <w:lvl w:ilvl="6">
      <w:start w:val="1"/>
      <w:numFmt w:val="bullet"/>
      <w:lvlText w:val=""/>
      <w:lvlJc w:val="left"/>
      <w:pPr>
        <w:ind w:hanging="245" w:left="1715"/>
      </w:pPr>
      <w:rPr>
        <w:rFonts w:ascii="Symbol" w:hAnsi="Symbol" w:hint="default"/>
        <w:color w:themeColor="accent6" w:val="F79646"/>
        <w:sz w:val="12"/>
      </w:rPr>
    </w:lvl>
    <w:lvl w:ilvl="7">
      <w:start w:val="1"/>
      <w:numFmt w:val="bullet"/>
      <w:lvlText w:val=""/>
      <w:lvlJc w:val="left"/>
      <w:pPr>
        <w:ind w:hanging="245" w:left="1960"/>
      </w:pPr>
      <w:rPr>
        <w:rFonts w:ascii="Symbol" w:hAnsi="Symbol" w:hint="default"/>
        <w:color w:themeColor="accent6" w:val="F79646"/>
        <w:sz w:val="12"/>
      </w:rPr>
    </w:lvl>
    <w:lvl w:ilvl="8">
      <w:start w:val="1"/>
      <w:numFmt w:val="bullet"/>
      <w:lvlText w:val=""/>
      <w:lvlJc w:val="left"/>
      <w:pPr>
        <w:ind w:hanging="245" w:left="2205"/>
      </w:pPr>
      <w:rPr>
        <w:rFonts w:ascii="Symbol" w:hAnsi="Symbol" w:hint="default"/>
        <w:color w:themeColor="accent6" w:val="F79646"/>
        <w:sz w:val="12"/>
      </w:rPr>
    </w:lvl>
  </w:abstractNum>
  <w:abstractNum w15:restartNumberingAfterBreak="0" w:abstractNumId="11">
    <w:nsid w:val="170CD2DE"/>
    <w:multiLevelType w:val="multilevel"/>
    <w:tmpl w:val="1FAC6FBE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bullet"/>
      <w:lvlText w:val=" "/>
      <w:lvlJc w:val="left"/>
      <w:pPr>
        <w:tabs>
          <w:tab w:pos="5040" w:val="num"/>
        </w:tabs>
        <w:ind w:hanging="480" w:left="5520"/>
      </w:pPr>
    </w:lvl>
    <w:lvl w:ilvl="8">
      <w:numFmt w:val="bullet"/>
      <w:lvlText w:val=" "/>
      <w:lvlJc w:val="left"/>
      <w:pPr>
        <w:tabs>
          <w:tab w:pos="5760" w:val="num"/>
        </w:tabs>
        <w:ind w:hanging="480" w:left="6240"/>
      </w:pPr>
    </w:lvl>
  </w:abstractNum>
  <w:abstractNum w15:restartNumberingAfterBreak="0" w:abstractNumId="12">
    <w:nsid w:val="197E3499"/>
    <w:multiLevelType w:val="multilevel"/>
    <w:tmpl w:val="85C08436"/>
    <w:styleLink w:val="NumberedList"/>
    <w:lvl w:ilvl="0">
      <w:start w:val="1"/>
      <w:numFmt w:val="decimal"/>
      <w:lvlText w:val="%1)"/>
      <w:lvlJc w:val="left"/>
      <w:pPr>
        <w:ind w:hanging="288" w:left="288"/>
      </w:pPr>
      <w:rPr>
        <w:rFonts w:hint="default"/>
      </w:rPr>
    </w:lvl>
    <w:lvl w:ilvl="1">
      <w:start w:val="1"/>
      <w:numFmt w:val="lowerLetter"/>
      <w:lvlText w:val="%2)"/>
      <w:lvlJc w:val="left"/>
      <w:pPr>
        <w:ind w:hanging="288" w:left="576"/>
      </w:pPr>
      <w:rPr>
        <w:rFonts w:hint="default"/>
        <w:color w:themeColor="text2" w:val="1F497D"/>
      </w:rPr>
    </w:lvl>
    <w:lvl w:ilvl="2">
      <w:start w:val="1"/>
      <w:numFmt w:val="lowerRoman"/>
      <w:lvlText w:val="%3)"/>
      <w:lvlJc w:val="left"/>
      <w:pPr>
        <w:ind w:hanging="288" w:left="864"/>
      </w:pPr>
      <w:rPr>
        <w:rFonts w:hint="default"/>
        <w:color w:themeColor="text2" w:val="1F497D"/>
      </w:rPr>
    </w:lvl>
    <w:lvl w:ilvl="3">
      <w:start w:val="1"/>
      <w:numFmt w:val="decimal"/>
      <w:lvlText w:val="(%4)"/>
      <w:lvlJc w:val="left"/>
      <w:pPr>
        <w:ind w:hanging="288" w:left="1152"/>
      </w:pPr>
      <w:rPr>
        <w:rFonts w:hint="default"/>
        <w:color w:themeColor="text2" w:val="1F497D"/>
      </w:rPr>
    </w:lvl>
    <w:lvl w:ilvl="4">
      <w:start w:val="1"/>
      <w:numFmt w:val="lowerLetter"/>
      <w:lvlText w:val="(%5)"/>
      <w:lvlJc w:val="left"/>
      <w:pPr>
        <w:ind w:hanging="288" w:left="1440"/>
      </w:pPr>
      <w:rPr>
        <w:rFonts w:hint="default"/>
        <w:color w:themeColor="text2" w:val="1F497D"/>
      </w:rPr>
    </w:lvl>
    <w:lvl w:ilvl="5">
      <w:start w:val="1"/>
      <w:numFmt w:val="lowerRoman"/>
      <w:lvlText w:val="(%6)"/>
      <w:lvlJc w:val="left"/>
      <w:pPr>
        <w:ind w:hanging="288" w:left="1728"/>
      </w:pPr>
      <w:rPr>
        <w:rFonts w:hint="default"/>
        <w:color w:themeColor="text2" w:val="1F497D"/>
      </w:rPr>
    </w:lvl>
    <w:lvl w:ilvl="6">
      <w:start w:val="1"/>
      <w:numFmt w:val="decimal"/>
      <w:lvlText w:val="%7."/>
      <w:lvlJc w:val="left"/>
      <w:pPr>
        <w:ind w:hanging="288" w:left="2016"/>
      </w:pPr>
      <w:rPr>
        <w:rFonts w:hint="default"/>
        <w:color w:themeColor="text2" w:val="1F497D"/>
      </w:rPr>
    </w:lvl>
    <w:lvl w:ilvl="7">
      <w:start w:val="1"/>
      <w:numFmt w:val="lowerLetter"/>
      <w:lvlText w:val="%8."/>
      <w:lvlJc w:val="left"/>
      <w:pPr>
        <w:ind w:hanging="288" w:left="2304"/>
      </w:pPr>
      <w:rPr>
        <w:rFonts w:hint="default"/>
        <w:color w:themeColor="text2" w:val="1F497D"/>
      </w:rPr>
    </w:lvl>
    <w:lvl w:ilvl="8">
      <w:start w:val="1"/>
      <w:numFmt w:val="lowerRoman"/>
      <w:lvlText w:val="%9."/>
      <w:lvlJc w:val="left"/>
      <w:pPr>
        <w:ind w:hanging="288" w:left="2592"/>
      </w:pPr>
      <w:rPr>
        <w:rFonts w:hint="default"/>
        <w:color w:themeColor="text2" w:val="1F497D"/>
      </w:rPr>
    </w:lvl>
  </w:abstractNum>
  <w:abstractNum w15:restartNumberingAfterBreak="0" w:abstractNumId="13">
    <w:nsid w:val="2768068A"/>
    <w:multiLevelType w:val="multilevel"/>
    <w:tmpl w:val="C3EE0C64"/>
    <w:lvl w:ilvl="0">
      <w:start w:val="1"/>
      <w:numFmt w:val="decimal"/>
      <w:pStyle w:val="Heading1"/>
      <w:lvlText w:val="%1."/>
      <w:lvlJc w:val="left"/>
      <w:pPr>
        <w:ind w:hanging="360" w:left="3240"/>
      </w:pPr>
      <w:rPr>
        <w:rFonts w:hint="default"/>
        <w:sz w:val="36"/>
        <w:szCs w:val="36"/>
      </w:rPr>
    </w:lvl>
    <w:lvl w:ilvl="1">
      <w:start w:val="1"/>
      <w:numFmt w:val="decimal"/>
      <w:pStyle w:val="Heading2"/>
      <w:suff w:val="space"/>
      <w:lvlText w:val="%1.%2."/>
      <w:lvlJc w:val="left"/>
      <w:pPr>
        <w:ind w:firstLine="360" w:left="0"/>
      </w:pPr>
      <w:rPr>
        <w:rFonts w:hint="default"/>
        <w:sz w:val="36"/>
        <w:szCs w:val="36"/>
        <w:lang w:bidi="th-TH"/>
      </w:rPr>
    </w:lvl>
    <w:lvl w:ilvl="2">
      <w:start w:val="1"/>
      <w:numFmt w:val="decimal"/>
      <w:pStyle w:val="Heading3"/>
      <w:suff w:val="space"/>
      <w:lvlText w:val="%1.%2.%3."/>
      <w:lvlJc w:val="left"/>
      <w:pPr>
        <w:ind w:firstLine="720" w:left="0"/>
      </w:pPr>
      <w:rPr>
        <w:rFonts w:hint="default"/>
        <w:sz w:val="32"/>
        <w:szCs w:val="32"/>
      </w:rPr>
    </w:lvl>
    <w:lvl w:ilvl="3">
      <w:start w:val="1"/>
      <w:numFmt w:val="decimal"/>
      <w:pStyle w:val="Heading4"/>
      <w:suff w:val="space"/>
      <w:lvlText w:val="%1.%2.%3.%4."/>
      <w:lvlJc w:val="left"/>
      <w:pPr>
        <w:ind w:hanging="648" w:left="172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hanging="792" w:left="223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hanging="936" w:left="27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hanging="1080" w:left="32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hanging="1224" w:left="374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hanging="1440" w:left="4320"/>
      </w:pPr>
      <w:rPr>
        <w:rFonts w:hint="default"/>
      </w:rPr>
    </w:lvl>
  </w:abstractNum>
  <w:abstractNum w15:restartNumberingAfterBreak="0" w:abstractNumId="14">
    <w:nsid w:val="3C7F20BF"/>
    <w:multiLevelType w:val="hybridMultilevel"/>
    <w:tmpl w:val="EBAE3294"/>
    <w:lvl w:ilvl="0" w:tplc="7EAAC4F0">
      <w:start w:val="1"/>
      <w:numFmt w:val="decimal"/>
      <w:lvlText w:val="รูปที่ %1"/>
      <w:lvlJc w:val="left"/>
      <w:pPr>
        <w:ind w:hanging="360" w:left="720"/>
      </w:pPr>
      <w:rPr>
        <w:rFonts w:hint="default"/>
      </w:rPr>
    </w:lvl>
    <w:lvl w:ilvl="1" w:tentative="1" w:tplc="04090019">
      <w:start w:val="1"/>
      <w:numFmt w:val="lowerLetter"/>
      <w:lvlText w:val="%2."/>
      <w:lvlJc w:val="left"/>
      <w:pPr>
        <w:ind w:hanging="360" w:left="1440"/>
      </w:pPr>
    </w:lvl>
    <w:lvl w:ilvl="2" w:tentative="1" w:tplc="0409001B">
      <w:start w:val="1"/>
      <w:numFmt w:val="lowerRoman"/>
      <w:lvlText w:val="%3."/>
      <w:lvlJc w:val="right"/>
      <w:pPr>
        <w:ind w:hanging="180" w:left="2160"/>
      </w:pPr>
    </w:lvl>
    <w:lvl w:ilvl="3" w:tentative="1" w:tplc="0409000F">
      <w:start w:val="1"/>
      <w:numFmt w:val="decimal"/>
      <w:lvlText w:val="%4."/>
      <w:lvlJc w:val="left"/>
      <w:pPr>
        <w:ind w:hanging="360" w:left="2880"/>
      </w:pPr>
    </w:lvl>
    <w:lvl w:ilvl="4" w:tentative="1" w:tplc="04090019">
      <w:start w:val="1"/>
      <w:numFmt w:val="lowerLetter"/>
      <w:lvlText w:val="%5."/>
      <w:lvlJc w:val="left"/>
      <w:pPr>
        <w:ind w:hanging="360" w:left="3600"/>
      </w:pPr>
    </w:lvl>
    <w:lvl w:ilvl="5" w:tentative="1" w:tplc="0409001B">
      <w:start w:val="1"/>
      <w:numFmt w:val="lowerRoman"/>
      <w:lvlText w:val="%6."/>
      <w:lvlJc w:val="right"/>
      <w:pPr>
        <w:ind w:hanging="180" w:left="4320"/>
      </w:pPr>
    </w:lvl>
    <w:lvl w:ilvl="6" w:tentative="1" w:tplc="0409000F">
      <w:start w:val="1"/>
      <w:numFmt w:val="decimal"/>
      <w:lvlText w:val="%7."/>
      <w:lvlJc w:val="left"/>
      <w:pPr>
        <w:ind w:hanging="360" w:left="5040"/>
      </w:pPr>
    </w:lvl>
    <w:lvl w:ilvl="7" w:tentative="1" w:tplc="04090019">
      <w:start w:val="1"/>
      <w:numFmt w:val="lowerLetter"/>
      <w:lvlText w:val="%8."/>
      <w:lvlJc w:val="left"/>
      <w:pPr>
        <w:ind w:hanging="360" w:left="5760"/>
      </w:pPr>
    </w:lvl>
    <w:lvl w:ilvl="8" w:tentative="1" w:tplc="0409001B">
      <w:start w:val="1"/>
      <w:numFmt w:val="lowerRoman"/>
      <w:lvlText w:val="%9."/>
      <w:lvlJc w:val="right"/>
      <w:pPr>
        <w:ind w:hanging="180" w:left="6480"/>
      </w:pPr>
    </w:lvl>
  </w:abstractNum>
  <w:abstractNum w15:restartNumberingAfterBreak="0" w:abstractNumId="15">
    <w:nsid w:val="755F0FBF"/>
    <w:multiLevelType w:val="hybridMultilevel"/>
    <w:tmpl w:val="8320CE34"/>
    <w:lvl w:ilvl="0" w:tplc="25408A0A">
      <w:start w:val="1"/>
      <w:numFmt w:val="decimal"/>
      <w:lvlText w:val="รูปที่ %1"/>
      <w:lvlJc w:val="left"/>
      <w:pPr>
        <w:ind w:hanging="360" w:left="720"/>
      </w:pPr>
      <w:rPr>
        <w:rFonts w:hint="default"/>
      </w:rPr>
    </w:lvl>
    <w:lvl w:ilvl="1" w:tentative="1" w:tplc="04090019">
      <w:start w:val="1"/>
      <w:numFmt w:val="lowerLetter"/>
      <w:lvlText w:val="%2."/>
      <w:lvlJc w:val="left"/>
      <w:pPr>
        <w:ind w:hanging="360" w:left="1440"/>
      </w:pPr>
    </w:lvl>
    <w:lvl w:ilvl="2" w:tentative="1" w:tplc="0409001B">
      <w:start w:val="1"/>
      <w:numFmt w:val="lowerRoman"/>
      <w:lvlText w:val="%3."/>
      <w:lvlJc w:val="right"/>
      <w:pPr>
        <w:ind w:hanging="180" w:left="2160"/>
      </w:pPr>
    </w:lvl>
    <w:lvl w:ilvl="3" w:tentative="1" w:tplc="0409000F">
      <w:start w:val="1"/>
      <w:numFmt w:val="decimal"/>
      <w:lvlText w:val="%4."/>
      <w:lvlJc w:val="left"/>
      <w:pPr>
        <w:ind w:hanging="360" w:left="2880"/>
      </w:pPr>
    </w:lvl>
    <w:lvl w:ilvl="4" w:tentative="1" w:tplc="04090019">
      <w:start w:val="1"/>
      <w:numFmt w:val="lowerLetter"/>
      <w:lvlText w:val="%5."/>
      <w:lvlJc w:val="left"/>
      <w:pPr>
        <w:ind w:hanging="360" w:left="3600"/>
      </w:pPr>
    </w:lvl>
    <w:lvl w:ilvl="5" w:tentative="1" w:tplc="0409001B">
      <w:start w:val="1"/>
      <w:numFmt w:val="lowerRoman"/>
      <w:lvlText w:val="%6."/>
      <w:lvlJc w:val="right"/>
      <w:pPr>
        <w:ind w:hanging="180" w:left="4320"/>
      </w:pPr>
    </w:lvl>
    <w:lvl w:ilvl="6" w:tentative="1" w:tplc="0409000F">
      <w:start w:val="1"/>
      <w:numFmt w:val="decimal"/>
      <w:lvlText w:val="%7."/>
      <w:lvlJc w:val="left"/>
      <w:pPr>
        <w:ind w:hanging="360" w:left="5040"/>
      </w:pPr>
    </w:lvl>
    <w:lvl w:ilvl="7" w:tentative="1" w:tplc="04090019">
      <w:start w:val="1"/>
      <w:numFmt w:val="lowerLetter"/>
      <w:lvlText w:val="%8."/>
      <w:lvlJc w:val="left"/>
      <w:pPr>
        <w:ind w:hanging="360" w:left="5760"/>
      </w:pPr>
    </w:lvl>
    <w:lvl w:ilvl="8" w:tentative="1" w:tplc="0409001B">
      <w:start w:val="1"/>
      <w:numFmt w:val="lowerRoman"/>
      <w:lvlText w:val="%9."/>
      <w:lvlJc w:val="right"/>
      <w:pPr>
        <w:ind w:hanging="180" w:left="6480"/>
      </w:pPr>
    </w:lvl>
  </w:abstractNum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16cid:durableId="517887487" w:numId="1">
    <w:abstractNumId w:val="11"/>
  </w:num>
  <w:num w16cid:durableId="1255674693" w:numId="2">
    <w:abstractNumId w:val="9"/>
  </w:num>
  <w:num w16cid:durableId="581764541" w:numId="3">
    <w:abstractNumId w:val="7"/>
  </w:num>
  <w:num w16cid:durableId="2066831990" w:numId="4">
    <w:abstractNumId w:val="6"/>
  </w:num>
  <w:num w16cid:durableId="1249194591" w:numId="5">
    <w:abstractNumId w:val="5"/>
  </w:num>
  <w:num w16cid:durableId="757285721" w:numId="6">
    <w:abstractNumId w:val="4"/>
  </w:num>
  <w:num w16cid:durableId="1470049560" w:numId="7">
    <w:abstractNumId w:val="8"/>
  </w:num>
  <w:num w16cid:durableId="1333291161" w:numId="8">
    <w:abstractNumId w:val="3"/>
  </w:num>
  <w:num w16cid:durableId="613827293" w:numId="9">
    <w:abstractNumId w:val="2"/>
  </w:num>
  <w:num w16cid:durableId="757990721" w:numId="10">
    <w:abstractNumId w:val="1"/>
  </w:num>
  <w:num w16cid:durableId="2050372660" w:numId="11">
    <w:abstractNumId w:val="0"/>
  </w:num>
  <w:num w16cid:durableId="674308614" w:numId="12">
    <w:abstractNumId w:val="0"/>
  </w:num>
  <w:num w16cid:durableId="1296327436" w:numId="13">
    <w:abstractNumId w:val="10"/>
  </w:num>
  <w:num w16cid:durableId="125706638" w:numId="14">
    <w:abstractNumId w:val="13"/>
  </w:num>
  <w:num w16cid:durableId="2111200674" w:numId="15">
    <w:abstractNumId w:val="13"/>
  </w:num>
  <w:num w16cid:durableId="1418557504" w:numId="16">
    <w:abstractNumId w:val="13"/>
  </w:num>
  <w:num w16cid:durableId="85225063" w:numId="17">
    <w:abstractNumId w:val="13"/>
  </w:num>
  <w:num w16cid:durableId="762536396" w:numId="18">
    <w:abstractNumId w:val="12"/>
  </w:num>
  <w:num w16cid:durableId="1210649422" w:numId="19">
    <w:abstractNumId w:val="9"/>
  </w:num>
  <w:num w16cid:durableId="263654639" w:numId="20">
    <w:abstractNumId w:val="7"/>
  </w:num>
  <w:num w16cid:durableId="1315571579" w:numId="21">
    <w:abstractNumId w:val="6"/>
  </w:num>
  <w:num w16cid:durableId="1686399200" w:numId="22">
    <w:abstractNumId w:val="5"/>
  </w:num>
  <w:num w16cid:durableId="1301494485" w:numId="23">
    <w:abstractNumId w:val="4"/>
  </w:num>
  <w:num w16cid:durableId="1117944121" w:numId="24">
    <w:abstractNumId w:val="8"/>
  </w:num>
  <w:num w16cid:durableId="1008169198" w:numId="25">
    <w:abstractNumId w:val="3"/>
  </w:num>
  <w:num w16cid:durableId="2139374187" w:numId="26">
    <w:abstractNumId w:val="2"/>
  </w:num>
  <w:num w16cid:durableId="332224434" w:numId="27">
    <w:abstractNumId w:val="1"/>
  </w:num>
  <w:num w16cid:durableId="528761925" w:numId="28">
    <w:abstractNumId w:val="0"/>
  </w:num>
  <w:num w16cid:durableId="1397972589" w:numId="29">
    <w:abstractNumId w:val="14"/>
  </w:num>
  <w:num w16cid:durableId="270623569" w:numId="30">
    <w:abstractNumId w:val="15"/>
  </w: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1"/>
  </w:num>
  <w:num w:numId="1005">
    <w:abstractNumId w:val="991"/>
  </w:num>
  <w:num w:numId="1006">
    <w:abstractNumId w:val="991"/>
  </w:num>
  <w:num w:numId="1007">
    <w:abstractNumId w:val="991"/>
  </w:num>
  <w:num w:numId="1008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allStyles="0" w:alternateStyleNames="0" w:clearFormatting="0" w:customStyles="0" w:directFormattingOnNumbering="0" w:directFormattingOnParagraphs="0" w:directFormattingOnRuns="0" w:directFormattingOnTables="0" w:headingStyles="0" w:latentStyles="1" w:numberingStyles="0" w:stylesInUse="0" w:tableStyles="0" w:top3HeadingStyles="0" w:val="0004" w:visibleStyles="0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hdrShapeDefaults>
    <o:shapedefaults spidmax="2050" v:ext="edit"/>
    <o:shapelayout v:ext="edit">
      <o:idmap data="1" v:ext="edit"/>
      <o:rules v:ext="edit">
        <o:r id="V:Rule1" idref="#AutoShape 9" type="connector"/>
      </o:rules>
    </o:shapelayout>
  </w:hdrShapeDefaults>
  <w:compat>
    <w:applyBreakingRules/>
    <w:compatSetting w:name="compatibilityMode" w:uri="http://schemas.microsoft.com/office/word" w:val="12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3260F2"/>
    <w:rsid w:val="00025060"/>
    <w:rsid w:val="00032408"/>
    <w:rsid w:val="000A6FD9"/>
    <w:rsid w:val="001D3678"/>
    <w:rsid w:val="0021070B"/>
    <w:rsid w:val="00223845"/>
    <w:rsid w:val="002323BD"/>
    <w:rsid w:val="002518C6"/>
    <w:rsid w:val="00294FD0"/>
    <w:rsid w:val="002C68CE"/>
    <w:rsid w:val="003149E8"/>
    <w:rsid w:val="003260F2"/>
    <w:rsid w:val="00356F38"/>
    <w:rsid w:val="00383DB5"/>
    <w:rsid w:val="003A1D08"/>
    <w:rsid w:val="00405B82"/>
    <w:rsid w:val="004B64DA"/>
    <w:rsid w:val="00591A1F"/>
    <w:rsid w:val="00592D0E"/>
    <w:rsid w:val="005A7CB0"/>
    <w:rsid w:val="006021D5"/>
    <w:rsid w:val="006347C4"/>
    <w:rsid w:val="007E7905"/>
    <w:rsid w:val="00862199"/>
    <w:rsid w:val="00880A46"/>
    <w:rsid w:val="0098469E"/>
    <w:rsid w:val="009B106F"/>
    <w:rsid w:val="009C51EA"/>
    <w:rsid w:val="009E0EBE"/>
    <w:rsid w:val="00A906BC"/>
    <w:rsid w:val="00B227A0"/>
    <w:rsid w:val="00B8445A"/>
    <w:rsid w:val="00B86D0D"/>
    <w:rsid w:val="00B9339D"/>
    <w:rsid w:val="00BB13B3"/>
    <w:rsid w:val="00C207B1"/>
    <w:rsid w:val="00C422D8"/>
    <w:rsid w:val="00C533A4"/>
    <w:rsid w:val="00C55C75"/>
    <w:rsid w:val="00C57199"/>
    <w:rsid w:val="00C93821"/>
    <w:rsid w:val="00CA5260"/>
    <w:rsid w:val="00D37216"/>
    <w:rsid w:val="00DA5F74"/>
    <w:rsid w:val="00DC5A97"/>
    <w:rsid w:val="00DE211E"/>
    <w:rsid w:val="00E07C09"/>
  </w:rsids>
  <w:themeFontLang w:bidi="th-TH"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shapeDefaults>
    <o:shapedefaults spidmax="2050" v:ext="edit"/>
    <o:shapelayout v:ext="edit">
      <o:idmap data="2" v:ext="edit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76" w:defLockedState="0" w:defQFormat="0" w:defSemiHidden="0" w:defUIPriority="0" w:defUnhideWhenUsed="0">
    <w:lsdException w:name="heading 5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qFormat="1" w:semiHidden="1" w:uiPriority="39" w:unhideWhenUsed="1"/>
    <w:lsdException w:name="toc 2" w:qFormat="1" w:semiHidden="1" w:uiPriority="39" w:unhideWhenUsed="1"/>
    <w:lsdException w:name="toc 3" w:qFormat="1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iPriority="99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iPriority="99" w:unhideWhenUsed="1"/>
    <w:lsdException w:name="table of figures" w:semiHidden="1" w:uiPriority="99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Bullet 2" w:semiHidden="1" w:unhideWhenUsed="1"/>
    <w:lsdException w:name="List Bullet 3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iPriority="99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 w:uiPriority="22"/>
    <w:lsdException w:name="Emphasis" w:qFormat="1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99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qFormat="1" w:uiPriority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qFormat="1" w:uiPriority="34"/>
    <w:lsdException w:name="Quote" w:qFormat="1" w:uiPriority="29"/>
    <w:lsdException w:name="Intense Quote" w:qFormat="1" w:uiPriority="30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 w:uiPriority="61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qFormat="1" w:uiPriority="19"/>
    <w:lsdException w:name="Intense Emphasis" w:qFormat="1" w:uiPriority="21"/>
    <w:lsdException w:name="Subtle Reference" w:qFormat="1" w:uiPriority="31"/>
    <w:lsdException w:name="Intense Reference" w:qFormat="1" w:uiPriority="32"/>
    <w:lsdException w:name="Book Title" w:qFormat="1" w:uiPriority="33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default="1" w:styleId="Normal" w:type="paragraph">
    <w:name w:val="Normal"/>
    <w:qFormat/>
    <w:rsid w:val="0021070B"/>
    <w:pPr>
      <w:spacing w:line="276" w:lineRule="auto"/>
    </w:pPr>
    <w:rPr>
      <w:rFonts w:ascii="TH Sarabun New" w:cs="TH Sarabun New" w:hAnsi="TH Sarabun New"/>
      <w:color w:themeColor="text2" w:themeShade="BF" w:val="17365D"/>
      <w:sz w:val="28"/>
      <w:szCs w:val="28"/>
      <w:lang w:bidi="th-TH" w:eastAsia="ja-JP"/>
    </w:rPr>
  </w:style>
  <w:style w:styleId="Heading1" w:type="paragraph">
    <w:name w:val="heading 1"/>
    <w:basedOn w:val="Normal"/>
    <w:next w:val="Normal"/>
    <w:link w:val="Heading1Char"/>
    <w:uiPriority w:val="9"/>
    <w:unhideWhenUsed/>
    <w:qFormat/>
    <w:rsid w:val="00D37216"/>
    <w:pPr>
      <w:numPr>
        <w:numId w:val="17"/>
      </w:numPr>
      <w:spacing w:after="40" w:before="360"/>
      <w:ind w:left="360"/>
      <w:outlineLvl w:val="0"/>
    </w:pPr>
    <w:rPr>
      <w:b/>
      <w:bCs/>
      <w:smallCaps/>
      <w:color w:val="auto"/>
      <w:spacing w:val="5"/>
      <w:sz w:val="36"/>
      <w:szCs w:val="36"/>
    </w:rPr>
  </w:style>
  <w:style w:styleId="Heading2" w:type="paragraph">
    <w:name w:val="heading 2"/>
    <w:basedOn w:val="Normal"/>
    <w:next w:val="Normal"/>
    <w:link w:val="Heading2Char"/>
    <w:uiPriority w:val="9"/>
    <w:unhideWhenUsed/>
    <w:qFormat/>
    <w:rsid w:val="00D37216"/>
    <w:pPr>
      <w:numPr>
        <w:ilvl w:val="1"/>
        <w:numId w:val="17"/>
      </w:numPr>
      <w:spacing w:after="0"/>
      <w:outlineLvl w:val="1"/>
    </w:pPr>
    <w:rPr>
      <w:b/>
      <w:bCs/>
      <w:color w:val="auto"/>
      <w:sz w:val="32"/>
      <w:szCs w:val="32"/>
    </w:rPr>
  </w:style>
  <w:style w:styleId="Heading3" w:type="paragraph">
    <w:name w:val="heading 3"/>
    <w:basedOn w:val="Heading2"/>
    <w:next w:val="Normal"/>
    <w:link w:val="Heading3Char"/>
    <w:uiPriority w:val="9"/>
    <w:unhideWhenUsed/>
    <w:qFormat/>
    <w:rsid w:val="0021070B"/>
    <w:pPr>
      <w:numPr>
        <w:ilvl w:val="2"/>
      </w:numPr>
      <w:outlineLvl w:val="2"/>
    </w:pPr>
    <w:rPr>
      <w:sz w:val="28"/>
      <w:szCs w:val="28"/>
    </w:rPr>
  </w:style>
  <w:style w:styleId="Heading4" w:type="paragraph">
    <w:name w:val="heading 4"/>
    <w:basedOn w:val="Heading3"/>
    <w:next w:val="Normal"/>
    <w:link w:val="Heading4Char"/>
    <w:uiPriority w:val="9"/>
    <w:unhideWhenUsed/>
    <w:qFormat/>
    <w:rsid w:val="0021070B"/>
    <w:pPr>
      <w:numPr>
        <w:ilvl w:val="3"/>
      </w:numPr>
      <w:outlineLvl w:val="3"/>
    </w:pPr>
    <w:rPr>
      <w:b w:val="0"/>
      <w:bCs w:val="0"/>
    </w:rPr>
  </w:style>
  <w:style w:styleId="Heading5" w:type="paragraph">
    <w:name w:val="heading 5"/>
    <w:basedOn w:val="Normal"/>
    <w:next w:val="Normal"/>
    <w:link w:val="Heading5Char"/>
    <w:uiPriority w:val="9"/>
    <w:unhideWhenUsed/>
    <w:qFormat/>
    <w:rsid w:val="00D37216"/>
    <w:pPr>
      <w:spacing w:after="0"/>
      <w:outlineLvl w:val="4"/>
    </w:pPr>
    <w:rPr>
      <w:i/>
      <w:color w:val="auto"/>
      <w:sz w:val="22"/>
      <w:szCs w:val="22"/>
    </w:rPr>
  </w:style>
  <w:style w:styleId="Heading6" w:type="paragraph">
    <w:name w:val="heading 6"/>
    <w:basedOn w:val="Normal"/>
    <w:next w:val="Normal"/>
    <w:link w:val="Heading6Char"/>
    <w:uiPriority w:val="9"/>
    <w:unhideWhenUsed/>
    <w:qFormat/>
    <w:rsid w:val="00D37216"/>
    <w:pPr>
      <w:spacing w:after="0"/>
      <w:outlineLvl w:val="5"/>
    </w:pPr>
    <w:rPr>
      <w:b/>
      <w:color w:val="auto"/>
    </w:rPr>
  </w:style>
  <w:style w:styleId="Heading7" w:type="paragraph">
    <w:name w:val="heading 7"/>
    <w:basedOn w:val="Normal"/>
    <w:next w:val="Normal"/>
    <w:link w:val="Heading7Char"/>
    <w:uiPriority w:val="9"/>
    <w:unhideWhenUsed/>
    <w:qFormat/>
    <w:rsid w:val="00D37216"/>
    <w:pPr>
      <w:spacing w:after="0"/>
      <w:outlineLvl w:val="6"/>
    </w:pPr>
    <w:rPr>
      <w:b/>
      <w:i/>
      <w:color w:val="auto"/>
    </w:rPr>
  </w:style>
  <w:style w:styleId="Heading8" w:type="paragraph">
    <w:name w:val="heading 8"/>
    <w:basedOn w:val="Normal"/>
    <w:next w:val="Normal"/>
    <w:link w:val="Heading8Char"/>
    <w:uiPriority w:val="9"/>
    <w:unhideWhenUsed/>
    <w:qFormat/>
    <w:rsid w:val="00D37216"/>
    <w:pPr>
      <w:spacing w:after="0"/>
      <w:outlineLvl w:val="7"/>
    </w:pPr>
    <w:rPr>
      <w:b/>
      <w:color w:val="auto"/>
    </w:rPr>
  </w:style>
  <w:style w:styleId="Heading9" w:type="paragraph">
    <w:name w:val="heading 9"/>
    <w:basedOn w:val="Normal"/>
    <w:next w:val="Normal"/>
    <w:link w:val="Heading9Char"/>
    <w:uiPriority w:val="9"/>
    <w:unhideWhenUsed/>
    <w:qFormat/>
    <w:rsid w:val="00D37216"/>
    <w:pPr>
      <w:spacing w:after="0"/>
      <w:outlineLvl w:val="8"/>
    </w:pPr>
    <w:rPr>
      <w:b/>
      <w:i/>
      <w:color w:val="auto"/>
      <w:sz w:val="18"/>
      <w:szCs w:val="18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link w:val="BodyTextChar"/>
    <w:uiPriority w:val="99"/>
    <w:unhideWhenUsed/>
    <w:rsid w:val="00D37216"/>
    <w:pPr>
      <w:spacing w:after="120" w:line="240" w:lineRule="auto"/>
      <w:jc w:val="thaiDistribute"/>
    </w:pPr>
    <w:rPr>
      <w:color w:val="auto"/>
      <w:szCs w:val="35"/>
    </w:rPr>
  </w:style>
  <w:style w:customStyle="1" w:styleId="FirstParagraph" w:type="paragraph">
    <w:name w:val="First Paragraph"/>
    <w:basedOn w:val="BodyText"/>
    <w:next w:val="BodyText"/>
    <w:qFormat/>
    <w:rsid w:val="00D37216"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link w:val="TitleChar"/>
    <w:uiPriority w:val="10"/>
    <w:qFormat/>
    <w:rsid w:val="0021070B"/>
    <w:rPr>
      <w:rFonts w:asciiTheme="majorHAnsi" w:hAnsiTheme="majorHAnsi"/>
      <w:smallCaps/>
      <w:color w:themeColor="accent1" w:val="4F81BD"/>
      <w:spacing w:val="10"/>
      <w:sz w:val="48"/>
      <w:szCs w:val="48"/>
    </w:rPr>
  </w:style>
  <w:style w:styleId="Subtitle" w:type="paragraph">
    <w:name w:val="Subtitle"/>
    <w:basedOn w:val="Normal"/>
    <w:link w:val="SubtitleChar"/>
    <w:uiPriority w:val="11"/>
    <w:qFormat/>
    <w:rsid w:val="00D37216"/>
    <w:rPr>
      <w:i/>
      <w:color w:val="auto"/>
      <w:spacing w:val="5"/>
      <w:sz w:val="24"/>
      <w:szCs w:val="24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color w:val="345A8A"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rsid w:val="000A6FD9"/>
    <w:pPr>
      <w:spacing w:after="100" w:before="100"/>
      <w:ind w:left="720" w:right="480"/>
      <w:jc w:val="left"/>
    </w:pPr>
  </w:style>
  <w:style w:styleId="FootnoteText" w:type="paragraph">
    <w:name w:val="footnote text"/>
    <w:basedOn w:val="Normal"/>
    <w:uiPriority w:val="9"/>
    <w:unhideWhenUsed/>
    <w:qFormat/>
  </w:style>
  <w:style w:customStyle="1" w:styleId="Table" w:type="table">
    <w:name w:val="Table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</w:tblPr>
      <w:trPr>
        <w:jc w:val="left"/>
      </w:trPr>
      <w:tcPr>
        <w:tcBorders>
          <w:bottom w:color="auto" w:space="0" w:sz="0"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next w:val="Normal"/>
    <w:link w:val="CaptionChar"/>
    <w:uiPriority w:val="99"/>
    <w:unhideWhenUsed/>
    <w:rsid w:val="0021070B"/>
    <w:pPr>
      <w:spacing w:line="240" w:lineRule="auto"/>
      <w:jc w:val="right"/>
    </w:pPr>
    <w:rPr>
      <w:b/>
      <w:bCs/>
      <w:color w:themeColor="accent1" w:themeShade="BF" w:val="365F91"/>
      <w:sz w:val="16"/>
      <w:szCs w:val="16"/>
    </w:rPr>
  </w:style>
  <w:style w:customStyle="1" w:styleId="TableCaption" w:type="paragraph">
    <w:name w:val="Table Caption"/>
    <w:basedOn w:val="Caption"/>
    <w:rsid w:val="00DA5F74"/>
    <w:pPr>
      <w:keepNext/>
      <w:jc w:val="center"/>
    </w:pPr>
    <w:rPr>
      <w:sz w:val="28"/>
    </w:rPr>
  </w:style>
  <w:style w:customStyle="1" w:styleId="ImageCaption" w:type="paragraph">
    <w:name w:val="Image Caption"/>
    <w:basedOn w:val="Caption"/>
    <w:rsid w:val="00880A46"/>
    <w:pPr>
      <w:jc w:val="center"/>
    </w:pPr>
    <w:rPr>
      <w:b w:val="0"/>
      <w:color w:themeColor="background1" w:themeShade="A6" w:val="A6A6A6"/>
      <w:sz w:val="28"/>
    </w:rPr>
  </w:style>
  <w:style w:customStyle="1" w:styleId="Figure" w:type="paragraph">
    <w:name w:val="Figure"/>
    <w:basedOn w:val="Normal"/>
    <w:rsid w:val="009C51EA"/>
    <w:pPr>
      <w:jc w:val="center"/>
    </w:pPr>
  </w:style>
  <w:style w:customStyle="1" w:styleId="CaptionedFigure" w:type="paragraph">
    <w:name w:val="Captioned Figure"/>
    <w:basedOn w:val="Figure"/>
    <w:rsid w:val="002518C6"/>
    <w:pPr>
      <w:keepNext/>
    </w:pPr>
  </w:style>
  <w:style w:customStyle="1" w:styleId="CaptionChar" w:type="character">
    <w:name w:val="Caption Char"/>
    <w:basedOn w:val="DefaultParagraphFont"/>
    <w:link w:val="Caption"/>
    <w:uiPriority w:val="99"/>
    <w:rPr>
      <w:rFonts w:ascii="TH Sarabun New" w:cs="TH Sarabun New" w:hAnsi="TH Sarabun New"/>
      <w:b/>
      <w:bCs/>
      <w:color w:themeColor="accent1" w:themeShade="BF" w:val="365F91"/>
      <w:sz w:val="16"/>
      <w:szCs w:val="16"/>
      <w:lang w:bidi="th-TH" w:eastAsia="ja-JP"/>
    </w:rPr>
  </w:style>
  <w:style w:customStyle="1" w:styleId="VerbatimChar" w:type="character">
    <w:name w:val="Verbatim Char"/>
    <w:basedOn w:val="CaptionChar"/>
    <w:rsid w:val="00D37216"/>
    <w:rPr>
      <w:rFonts w:ascii="Consolas" w:cs="TH Sarabun New" w:hAnsi="Consolas"/>
      <w:b/>
      <w:bCs/>
      <w:color w:val="auto"/>
      <w:sz w:val="22"/>
      <w:szCs w:val="16"/>
      <w:lang w:bidi="th-TH" w:eastAsia="ja-JP"/>
    </w:rPr>
  </w:style>
  <w:style w:customStyle="1" w:styleId="SectionNumber" w:type="character">
    <w:name w:val="Section Number"/>
    <w:basedOn w:val="CaptionChar"/>
    <w:rPr>
      <w:rFonts w:ascii="TH Sarabun New" w:cs="TH Sarabun New" w:hAnsi="TH Sarabun New"/>
      <w:b/>
      <w:bCs/>
      <w:color w:themeColor="accent1" w:themeShade="BF" w:val="365F91"/>
      <w:sz w:val="16"/>
      <w:szCs w:val="16"/>
      <w:lang w:bidi="th-TH" w:eastAsia="ja-JP"/>
    </w:rPr>
  </w:style>
  <w:style w:styleId="FootnoteReference" w:type="character">
    <w:name w:val="footnote reference"/>
    <w:basedOn w:val="CaptionChar"/>
    <w:rPr>
      <w:rFonts w:ascii="TH Sarabun New" w:cs="TH Sarabun New" w:hAnsi="TH Sarabun New"/>
      <w:b/>
      <w:bCs/>
      <w:color w:themeColor="accent1" w:themeShade="BF" w:val="365F91"/>
      <w:sz w:val="16"/>
      <w:szCs w:val="16"/>
      <w:vertAlign w:val="superscript"/>
      <w:lang w:bidi="th-TH" w:eastAsia="ja-JP"/>
    </w:rPr>
  </w:style>
  <w:style w:styleId="Hyperlink" w:type="character">
    <w:name w:val="Hyperlink"/>
    <w:basedOn w:val="DefaultParagraphFont"/>
    <w:uiPriority w:val="99"/>
    <w:unhideWhenUsed/>
    <w:rsid w:val="0021070B"/>
    <w:rPr>
      <w:color w:themeColor="hyperlink" w:val="0000FF"/>
      <w:u w:val="single"/>
    </w:rPr>
  </w:style>
  <w:style w:styleId="TOCHeading" w:type="paragraph">
    <w:name w:val="TOC Heading"/>
    <w:basedOn w:val="Heading1"/>
    <w:next w:val="Normal"/>
    <w:uiPriority w:val="39"/>
    <w:unhideWhenUsed/>
    <w:qFormat/>
    <w:rsid w:val="0021070B"/>
    <w:pPr>
      <w:keepNext/>
      <w:keepLines/>
      <w:numPr>
        <w:numId w:val="0"/>
      </w:numPr>
      <w:spacing w:after="0" w:before="480"/>
      <w:outlineLvl w:val="9"/>
    </w:pPr>
    <w:rPr>
      <w:rFonts w:asciiTheme="majorHAnsi" w:cstheme="majorBidi" w:eastAsiaTheme="majorEastAsia" w:hAnsiTheme="majorHAnsi"/>
      <w:smallCaps w:val="0"/>
      <w:color w:themeColor="accent1" w:themeShade="BF" w:val="365F91"/>
      <w:spacing w:val="0"/>
      <w:sz w:val="35"/>
      <w:szCs w:val="35"/>
      <w:cs/>
      <w:lang w:eastAsia="en-US"/>
    </w:rPr>
  </w:style>
  <w:style w:styleId="Header" w:type="paragraph">
    <w:name w:val="header"/>
    <w:basedOn w:val="Normal"/>
    <w:link w:val="HeaderChar"/>
    <w:uiPriority w:val="99"/>
    <w:unhideWhenUsed/>
    <w:rsid w:val="0021070B"/>
    <w:pPr>
      <w:tabs>
        <w:tab w:pos="4680" w:val="center"/>
        <w:tab w:pos="9360" w:val="right"/>
      </w:tabs>
      <w:spacing w:after="0" w:line="240" w:lineRule="auto"/>
    </w:pPr>
  </w:style>
  <w:style w:customStyle="1" w:styleId="HeaderChar" w:type="character">
    <w:name w:val="Header Char"/>
    <w:basedOn w:val="DefaultParagraphFont"/>
    <w:link w:val="Header"/>
    <w:uiPriority w:val="99"/>
    <w:rsid w:val="0021070B"/>
    <w:rPr>
      <w:rFonts w:ascii="TH Sarabun New" w:cs="TH Sarabun New" w:hAnsi="TH Sarabun New"/>
      <w:color w:themeColor="text2" w:themeShade="BF" w:val="17365D"/>
      <w:sz w:val="28"/>
      <w:szCs w:val="28"/>
      <w:lang w:bidi="th-TH" w:eastAsia="ja-JP"/>
    </w:rPr>
  </w:style>
  <w:style w:styleId="Footer" w:type="paragraph">
    <w:name w:val="footer"/>
    <w:basedOn w:val="Normal"/>
    <w:link w:val="FooterChar"/>
    <w:uiPriority w:val="99"/>
    <w:unhideWhenUsed/>
    <w:rsid w:val="0021070B"/>
    <w:pPr>
      <w:tabs>
        <w:tab w:pos="4680" w:val="center"/>
        <w:tab w:pos="9360" w:val="right"/>
      </w:tabs>
      <w:spacing w:after="0" w:line="240" w:lineRule="auto"/>
    </w:pPr>
  </w:style>
  <w:style w:customStyle="1" w:styleId="FooterChar" w:type="character">
    <w:name w:val="Footer Char"/>
    <w:basedOn w:val="DefaultParagraphFont"/>
    <w:link w:val="Footer"/>
    <w:uiPriority w:val="99"/>
    <w:rsid w:val="0021070B"/>
    <w:rPr>
      <w:rFonts w:ascii="TH Sarabun New" w:cs="TH Sarabun New" w:hAnsi="TH Sarabun New"/>
      <w:color w:themeColor="text2" w:themeShade="BF" w:val="17365D"/>
      <w:sz w:val="28"/>
      <w:szCs w:val="28"/>
      <w:lang w:bidi="th-TH" w:eastAsia="ja-JP"/>
    </w:rPr>
  </w:style>
  <w:style w:styleId="BalloonText" w:type="paragraph">
    <w:name w:val="Balloon Text"/>
    <w:basedOn w:val="Normal"/>
    <w:link w:val="BalloonTextChar"/>
    <w:uiPriority w:val="99"/>
    <w:semiHidden/>
    <w:unhideWhenUsed/>
    <w:rsid w:val="0021070B"/>
    <w:pPr>
      <w:spacing w:after="0" w:line="240" w:lineRule="auto"/>
    </w:pPr>
    <w:rPr>
      <w:rFonts w:ascii="Tahoma" w:cs="Tahoma" w:hAnsi="Tahoma"/>
      <w:sz w:val="16"/>
      <w:szCs w:val="16"/>
    </w:rPr>
  </w:style>
  <w:style w:customStyle="1" w:styleId="BodyTextChar" w:type="character">
    <w:name w:val="Body Text Char"/>
    <w:basedOn w:val="DefaultParagraphFont"/>
    <w:link w:val="BodyText"/>
    <w:uiPriority w:val="99"/>
    <w:rsid w:val="00D37216"/>
    <w:rPr>
      <w:rFonts w:ascii="TH Sarabun New" w:cs="TH Sarabun New" w:hAnsi="TH Sarabun New"/>
      <w:sz w:val="28"/>
      <w:szCs w:val="35"/>
      <w:lang w:bidi="th-TH" w:eastAsia="ja-JP"/>
    </w:rPr>
  </w:style>
  <w:style w:customStyle="1" w:styleId="BalloonTextChar" w:type="character">
    <w:name w:val="Balloon Text Char"/>
    <w:basedOn w:val="DefaultParagraphFont"/>
    <w:link w:val="BalloonText"/>
    <w:uiPriority w:val="99"/>
    <w:semiHidden/>
    <w:rsid w:val="0021070B"/>
    <w:rPr>
      <w:rFonts w:ascii="Tahoma" w:cs="Tahoma" w:hAnsi="Tahoma"/>
      <w:color w:themeColor="text2" w:themeShade="BF" w:val="17365D"/>
      <w:sz w:val="16"/>
      <w:szCs w:val="16"/>
      <w:lang w:bidi="th-TH" w:eastAsia="ja-JP"/>
    </w:rPr>
  </w:style>
  <w:style w:styleId="BodyText2" w:type="paragraph">
    <w:name w:val="Body Text 2"/>
    <w:basedOn w:val="Normal"/>
    <w:link w:val="BodyText2Char"/>
    <w:rsid w:val="0021070B"/>
    <w:pPr>
      <w:spacing w:after="0" w:line="240" w:lineRule="auto"/>
      <w:jc w:val="center"/>
    </w:pPr>
    <w:rPr>
      <w:rFonts w:ascii="Times New Roman" w:cs="CordiaUPC" w:eastAsia="Times New Roman" w:hAnsi="Times New Roman"/>
      <w:color w:val="auto"/>
      <w:lang w:eastAsia="en-US"/>
    </w:rPr>
  </w:style>
  <w:style w:customStyle="1" w:styleId="BodyText2Char" w:type="character">
    <w:name w:val="Body Text 2 Char"/>
    <w:basedOn w:val="DefaultParagraphFont"/>
    <w:link w:val="BodyText2"/>
    <w:rsid w:val="0021070B"/>
    <w:rPr>
      <w:rFonts w:ascii="Times New Roman" w:cs="CordiaUPC" w:eastAsia="Times New Roman" w:hAnsi="Times New Roman"/>
      <w:sz w:val="28"/>
      <w:szCs w:val="28"/>
      <w:lang w:bidi="th-TH"/>
    </w:rPr>
  </w:style>
  <w:style w:styleId="BookTitle" w:type="character">
    <w:name w:val="Book Title"/>
    <w:basedOn w:val="DefaultParagraphFont"/>
    <w:uiPriority w:val="33"/>
    <w:qFormat/>
    <w:rsid w:val="0021070B"/>
    <w:rPr>
      <w:rFonts w:cs="Times New Roman"/>
      <w:smallCaps/>
      <w:color w:val="000000"/>
      <w:spacing w:val="10"/>
    </w:rPr>
  </w:style>
  <w:style w:customStyle="1" w:styleId="BulletedList" w:type="numbering">
    <w:name w:val="Bulleted List"/>
    <w:uiPriority w:val="99"/>
    <w:rsid w:val="0021070B"/>
    <w:pPr>
      <w:numPr>
        <w:numId w:val="13"/>
      </w:numPr>
    </w:pPr>
  </w:style>
  <w:style w:customStyle="1" w:styleId="Chapter1" w:type="paragraph">
    <w:name w:val="Chapter 1"/>
    <w:autoRedefine/>
    <w:qFormat/>
    <w:rsid w:val="0021070B"/>
    <w:pPr>
      <w:spacing w:after="240"/>
      <w:jc w:val="center"/>
    </w:pPr>
    <w:rPr>
      <w:rFonts w:ascii="TH Sarabun New" w:cs="TH Sarabun New" w:eastAsiaTheme="majorEastAsia" w:hAnsi="TH Sarabun New"/>
      <w:b/>
      <w:bCs/>
      <w:kern w:val="2"/>
      <w:sz w:val="32"/>
      <w:szCs w:val="36"/>
      <w:lang w:bidi="th-TH"/>
    </w:rPr>
  </w:style>
  <w:style w:customStyle="1" w:styleId="Default" w:type="paragraph">
    <w:name w:val="Default"/>
    <w:rsid w:val="0021070B"/>
    <w:pPr>
      <w:autoSpaceDE w:val="0"/>
      <w:autoSpaceDN w:val="0"/>
      <w:adjustRightInd w:val="0"/>
      <w:spacing w:after="0"/>
    </w:pPr>
    <w:rPr>
      <w:rFonts w:ascii="TH SarabunPSK" w:cs="TH SarabunPSK" w:hAnsi="TH SarabunPSK"/>
      <w:color w:val="000000"/>
      <w:lang w:bidi="th-TH"/>
    </w:rPr>
  </w:style>
  <w:style w:styleId="Emphasis" w:type="character">
    <w:name w:val="Emphasis"/>
    <w:uiPriority w:val="20"/>
    <w:qFormat/>
    <w:rsid w:val="0021070B"/>
    <w:rPr>
      <w:b/>
      <w:i/>
      <w:color w:themeColor="text2" w:themeShade="80" w:val="0F243E"/>
      <w:spacing w:val="10"/>
      <w:sz w:val="18"/>
      <w:szCs w:val="18"/>
    </w:rPr>
  </w:style>
  <w:style w:customStyle="1" w:styleId="eop" w:type="character">
    <w:name w:val="eop"/>
    <w:basedOn w:val="DefaultParagraphFont"/>
    <w:rsid w:val="0021070B"/>
  </w:style>
  <w:style w:customStyle="1" w:styleId="Heading1Char" w:type="character">
    <w:name w:val="Heading 1 Char"/>
    <w:basedOn w:val="DefaultParagraphFont"/>
    <w:link w:val="Heading1"/>
    <w:uiPriority w:val="9"/>
    <w:rsid w:val="00D37216"/>
    <w:rPr>
      <w:rFonts w:ascii="TH Sarabun New" w:cs="TH Sarabun New" w:hAnsi="TH Sarabun New"/>
      <w:b/>
      <w:bCs/>
      <w:smallCaps/>
      <w:spacing w:val="5"/>
      <w:sz w:val="36"/>
      <w:szCs w:val="36"/>
      <w:lang w:bidi="th-TH" w:eastAsia="ja-JP"/>
    </w:rPr>
  </w:style>
  <w:style w:customStyle="1" w:styleId="Heading2Char" w:type="character">
    <w:name w:val="Heading 2 Char"/>
    <w:basedOn w:val="DefaultParagraphFont"/>
    <w:link w:val="Heading2"/>
    <w:uiPriority w:val="9"/>
    <w:rsid w:val="00D37216"/>
    <w:rPr>
      <w:rFonts w:ascii="TH Sarabun New" w:cs="TH Sarabun New" w:hAnsi="TH Sarabun New"/>
      <w:b/>
      <w:bCs/>
      <w:sz w:val="32"/>
      <w:szCs w:val="32"/>
      <w:lang w:bidi="th-TH" w:eastAsia="ja-JP"/>
    </w:rPr>
  </w:style>
  <w:style w:customStyle="1" w:styleId="Heading3Char" w:type="character">
    <w:name w:val="Heading 3 Char"/>
    <w:basedOn w:val="DefaultParagraphFont"/>
    <w:link w:val="Heading3"/>
    <w:uiPriority w:val="9"/>
    <w:rsid w:val="0021070B"/>
    <w:rPr>
      <w:rFonts w:ascii="TH Sarabun New" w:cs="TH Sarabun New" w:hAnsi="TH Sarabun New"/>
      <w:b/>
      <w:bCs/>
      <w:color w:themeColor="text2" w:themeShade="BF" w:val="17365D"/>
      <w:sz w:val="28"/>
      <w:szCs w:val="28"/>
      <w:lang w:bidi="th-TH" w:eastAsia="ja-JP"/>
    </w:rPr>
  </w:style>
  <w:style w:customStyle="1" w:styleId="Heading4Char" w:type="character">
    <w:name w:val="Heading 4 Char"/>
    <w:basedOn w:val="DefaultParagraphFont"/>
    <w:link w:val="Heading4"/>
    <w:uiPriority w:val="9"/>
    <w:rsid w:val="0021070B"/>
    <w:rPr>
      <w:rFonts w:ascii="TH Sarabun New" w:cs="TH Sarabun New" w:hAnsi="TH Sarabun New"/>
      <w:color w:themeColor="text2" w:themeShade="BF" w:val="17365D"/>
      <w:sz w:val="28"/>
      <w:szCs w:val="28"/>
      <w:lang w:bidi="th-TH" w:eastAsia="ja-JP"/>
    </w:rPr>
  </w:style>
  <w:style w:customStyle="1" w:styleId="Heading5Char" w:type="character">
    <w:name w:val="Heading 5 Char"/>
    <w:basedOn w:val="DefaultParagraphFont"/>
    <w:link w:val="Heading5"/>
    <w:uiPriority w:val="9"/>
    <w:rsid w:val="00D37216"/>
    <w:rPr>
      <w:rFonts w:ascii="TH Sarabun New" w:cs="TH Sarabun New" w:hAnsi="TH Sarabun New"/>
      <w:i/>
      <w:sz w:val="22"/>
      <w:szCs w:val="22"/>
      <w:lang w:bidi="th-TH" w:eastAsia="ja-JP"/>
    </w:rPr>
  </w:style>
  <w:style w:customStyle="1" w:styleId="Heading6Char" w:type="character">
    <w:name w:val="Heading 6 Char"/>
    <w:basedOn w:val="DefaultParagraphFont"/>
    <w:link w:val="Heading6"/>
    <w:uiPriority w:val="9"/>
    <w:rsid w:val="00D37216"/>
    <w:rPr>
      <w:rFonts w:ascii="TH Sarabun New" w:cs="TH Sarabun New" w:hAnsi="TH Sarabun New"/>
      <w:b/>
      <w:sz w:val="28"/>
      <w:szCs w:val="28"/>
      <w:lang w:bidi="th-TH" w:eastAsia="ja-JP"/>
    </w:rPr>
  </w:style>
  <w:style w:customStyle="1" w:styleId="Heading7Char" w:type="character">
    <w:name w:val="Heading 7 Char"/>
    <w:basedOn w:val="DefaultParagraphFont"/>
    <w:link w:val="Heading7"/>
    <w:uiPriority w:val="9"/>
    <w:rsid w:val="00D37216"/>
    <w:rPr>
      <w:rFonts w:ascii="TH Sarabun New" w:cs="TH Sarabun New" w:hAnsi="TH Sarabun New"/>
      <w:b/>
      <w:i/>
      <w:sz w:val="28"/>
      <w:szCs w:val="28"/>
      <w:lang w:bidi="th-TH" w:eastAsia="ja-JP"/>
    </w:rPr>
  </w:style>
  <w:style w:customStyle="1" w:styleId="Heading8Char" w:type="character">
    <w:name w:val="Heading 8 Char"/>
    <w:basedOn w:val="DefaultParagraphFont"/>
    <w:link w:val="Heading8"/>
    <w:uiPriority w:val="9"/>
    <w:rsid w:val="00D37216"/>
    <w:rPr>
      <w:rFonts w:ascii="TH Sarabun New" w:cs="TH Sarabun New" w:hAnsi="TH Sarabun New"/>
      <w:b/>
      <w:sz w:val="28"/>
      <w:szCs w:val="28"/>
      <w:lang w:bidi="th-TH" w:eastAsia="ja-JP"/>
    </w:rPr>
  </w:style>
  <w:style w:customStyle="1" w:styleId="Heading9Char" w:type="character">
    <w:name w:val="Heading 9 Char"/>
    <w:basedOn w:val="DefaultParagraphFont"/>
    <w:link w:val="Heading9"/>
    <w:uiPriority w:val="9"/>
    <w:rsid w:val="00D37216"/>
    <w:rPr>
      <w:rFonts w:ascii="TH Sarabun New" w:cs="TH Sarabun New" w:hAnsi="TH Sarabun New"/>
      <w:b/>
      <w:i/>
      <w:sz w:val="18"/>
      <w:szCs w:val="18"/>
      <w:lang w:bidi="th-TH" w:eastAsia="ja-JP"/>
    </w:rPr>
  </w:style>
  <w:style w:styleId="IntenseEmphasis" w:type="character">
    <w:name w:val="Intense Emphasis"/>
    <w:basedOn w:val="DefaultParagraphFont"/>
    <w:uiPriority w:val="21"/>
    <w:qFormat/>
    <w:rsid w:val="0021070B"/>
    <w:rPr>
      <w:i/>
      <w:caps/>
      <w:color w:themeColor="accent1" w:themeShade="BF" w:val="365F91"/>
      <w:spacing w:val="10"/>
      <w:sz w:val="18"/>
      <w:szCs w:val="18"/>
    </w:rPr>
  </w:style>
  <w:style w:styleId="Quote" w:type="paragraph">
    <w:name w:val="Quote"/>
    <w:basedOn w:val="Normal"/>
    <w:link w:val="QuoteChar"/>
    <w:uiPriority w:val="29"/>
    <w:qFormat/>
    <w:rsid w:val="0021070B"/>
    <w:rPr>
      <w:i/>
    </w:rPr>
  </w:style>
  <w:style w:customStyle="1" w:styleId="QuoteChar" w:type="character">
    <w:name w:val="Quote Char"/>
    <w:basedOn w:val="DefaultParagraphFont"/>
    <w:link w:val="Quote"/>
    <w:uiPriority w:val="29"/>
    <w:rsid w:val="0021070B"/>
    <w:rPr>
      <w:rFonts w:ascii="TH Sarabun New" w:cs="TH Sarabun New" w:hAnsi="TH Sarabun New"/>
      <w:i/>
      <w:color w:themeColor="text2" w:themeShade="BF" w:val="17365D"/>
      <w:sz w:val="28"/>
      <w:szCs w:val="28"/>
      <w:lang w:bidi="th-TH" w:eastAsia="ja-JP"/>
    </w:rPr>
  </w:style>
  <w:style w:styleId="IntenseQuote" w:type="paragraph">
    <w:name w:val="Intense Quote"/>
    <w:basedOn w:val="Quote"/>
    <w:link w:val="IntenseQuoteChar"/>
    <w:uiPriority w:val="30"/>
    <w:qFormat/>
    <w:rsid w:val="0021070B"/>
    <w:pPr>
      <w:pBdr>
        <w:bottom w:color="4F81BD" w:space="4" w:sz="4" w:themeColor="accent1" w:val="double"/>
      </w:pBdr>
      <w:spacing w:line="300" w:lineRule="auto"/>
      <w:ind w:left="936" w:right="936"/>
    </w:pPr>
    <w:rPr>
      <w:i w:val="0"/>
      <w:color w:themeColor="accent1" w:themeShade="BF" w:val="365F91"/>
    </w:rPr>
  </w:style>
  <w:style w:customStyle="1" w:styleId="IntenseQuoteChar" w:type="character">
    <w:name w:val="Intense Quote Char"/>
    <w:basedOn w:val="DefaultParagraphFont"/>
    <w:link w:val="IntenseQuote"/>
    <w:uiPriority w:val="30"/>
    <w:rsid w:val="0021070B"/>
    <w:rPr>
      <w:rFonts w:ascii="TH Sarabun New" w:cs="TH Sarabun New" w:hAnsi="TH Sarabun New"/>
      <w:color w:themeColor="accent1" w:themeShade="BF" w:val="365F91"/>
      <w:sz w:val="28"/>
      <w:szCs w:val="28"/>
      <w:lang w:bidi="th-TH" w:eastAsia="ja-JP"/>
    </w:rPr>
  </w:style>
  <w:style w:styleId="IntenseReference" w:type="character">
    <w:name w:val="Intense Reference"/>
    <w:basedOn w:val="DefaultParagraphFont"/>
    <w:uiPriority w:val="32"/>
    <w:qFormat/>
    <w:rsid w:val="0021070B"/>
    <w:rPr>
      <w:rFonts w:cs="Times New Roman"/>
      <w:b/>
      <w:caps/>
      <w:color w:themeColor="accent2" w:themeShade="BF" w:val="943634"/>
      <w:spacing w:val="5"/>
      <w:sz w:val="18"/>
      <w:szCs w:val="18"/>
    </w:rPr>
  </w:style>
  <w:style w:styleId="LightList-Accent3" w:type="table">
    <w:name w:val="Light List Accent 3"/>
    <w:basedOn w:val="TableNormal"/>
    <w:uiPriority w:val="61"/>
    <w:rsid w:val="0021070B"/>
    <w:pPr>
      <w:spacing w:after="0"/>
    </w:pPr>
    <w:rPr>
      <w:rFonts w:ascii="TH SarabunPSK" w:cs="TH SarabunPSK" w:hAnsi="TH SarabunPSK"/>
      <w:kern w:val="2"/>
      <w:sz w:val="28"/>
      <w:szCs w:val="28"/>
      <w:lang w:bidi="th-TH"/>
    </w:rPr>
    <w:tblPr>
      <w:tblStyleRowBandSize w:val="1"/>
      <w:tblStyleColBandSize w:val="1"/>
      <w:tblBorders>
        <w:top w:color="9BBB59" w:space="0" w:sz="8" w:themeColor="accent3" w:val="single"/>
        <w:left w:color="9BBB59" w:space="0" w:sz="8" w:themeColor="accent3" w:val="single"/>
        <w:bottom w:color="9BBB59" w:space="0" w:sz="8" w:themeColor="accent3" w:val="single"/>
        <w:right w:color="9BBB59" w:space="0" w:sz="8" w:themeColor="accent3" w:val="single"/>
      </w:tblBorders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shd w:color="auto" w:fill="9BBB59" w:themeFill="accent3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9BBB59" w:space="0" w:sz="6" w:themeColor="accent3" w:val="doub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color="9BBB59" w:space="0" w:sz="8" w:themeColor="accent3" w:val="sing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</w:tcBorders>
      </w:tcPr>
    </w:tblStylePr>
    <w:tblStylePr w:type="band1Horz">
      <w:tblPr/>
      <w:tcPr>
        <w:tcBorders>
          <w:top w:color="9BBB59" w:space="0" w:sz="8" w:themeColor="accent3" w:val="sing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</w:tcBorders>
      </w:tcPr>
    </w:tblStylePr>
  </w:style>
  <w:style w:styleId="ListParagraph" w:type="paragraph">
    <w:name w:val="List Paragraph"/>
    <w:basedOn w:val="Normal"/>
    <w:link w:val="ListParagraphChar"/>
    <w:uiPriority w:val="34"/>
    <w:unhideWhenUsed/>
    <w:qFormat/>
    <w:rsid w:val="0021070B"/>
    <w:pPr>
      <w:ind w:left="720"/>
      <w:contextualSpacing/>
    </w:pPr>
  </w:style>
  <w:style w:customStyle="1" w:styleId="ListParagraphChar" w:type="character">
    <w:name w:val="List Paragraph Char"/>
    <w:link w:val="ListParagraph"/>
    <w:uiPriority w:val="34"/>
    <w:qFormat/>
    <w:rsid w:val="0021070B"/>
    <w:rPr>
      <w:rFonts w:ascii="TH Sarabun New" w:cs="TH Sarabun New" w:hAnsi="TH Sarabun New"/>
      <w:color w:themeColor="text2" w:themeShade="BF" w:val="17365D"/>
      <w:sz w:val="28"/>
      <w:szCs w:val="28"/>
      <w:lang w:bidi="th-TH" w:eastAsia="ja-JP"/>
    </w:rPr>
  </w:style>
  <w:style w:styleId="NoSpacing" w:type="paragraph">
    <w:name w:val="No Spacing"/>
    <w:link w:val="NoSpacingChar"/>
    <w:uiPriority w:val="1"/>
    <w:qFormat/>
    <w:rsid w:val="0021070B"/>
    <w:pPr>
      <w:spacing w:after="0"/>
    </w:pPr>
    <w:rPr>
      <w:rFonts w:eastAsiaTheme="minorEastAsia"/>
      <w:sz w:val="22"/>
      <w:szCs w:val="22"/>
    </w:rPr>
  </w:style>
  <w:style w:customStyle="1" w:styleId="NoSpacingChar" w:type="character">
    <w:name w:val="No Spacing Char"/>
    <w:basedOn w:val="DefaultParagraphFont"/>
    <w:link w:val="NoSpacing"/>
    <w:uiPriority w:val="1"/>
    <w:rsid w:val="0021070B"/>
    <w:rPr>
      <w:rFonts w:eastAsiaTheme="minorEastAsia"/>
      <w:sz w:val="22"/>
      <w:szCs w:val="22"/>
    </w:rPr>
  </w:style>
  <w:style w:styleId="NormalWeb" w:type="paragraph">
    <w:name w:val="Normal (Web)"/>
    <w:basedOn w:val="Normal"/>
    <w:uiPriority w:val="99"/>
    <w:unhideWhenUsed/>
    <w:rsid w:val="0021070B"/>
    <w:pPr>
      <w:spacing w:after="100" w:afterAutospacing="1" w:before="100" w:beforeAutospacing="1" w:line="240" w:lineRule="auto"/>
    </w:pPr>
    <w:rPr>
      <w:rFonts w:ascii="Angsana New" w:cs="Angsana New" w:eastAsia="Times New Roman" w:hAnsi="Angsana New"/>
      <w:color w:val="auto"/>
      <w:lang w:eastAsia="en-US"/>
    </w:rPr>
  </w:style>
  <w:style w:styleId="NormalIndent" w:type="paragraph">
    <w:name w:val="Normal Indent"/>
    <w:basedOn w:val="Normal"/>
    <w:uiPriority w:val="99"/>
    <w:unhideWhenUsed/>
    <w:rsid w:val="0021070B"/>
    <w:pPr>
      <w:ind w:left="720"/>
      <w:contextualSpacing/>
    </w:pPr>
  </w:style>
  <w:style w:customStyle="1" w:styleId="Normal14" w:type="paragraph">
    <w:name w:val="Normal14"/>
    <w:basedOn w:val="Normal"/>
    <w:link w:val="Normal14Char"/>
    <w:qFormat/>
    <w:rsid w:val="0021070B"/>
    <w:pPr>
      <w:spacing w:after="0" w:line="240" w:lineRule="auto"/>
    </w:pPr>
    <w:rPr>
      <w:rFonts w:eastAsia="Times New Roman"/>
      <w:color w:val="auto"/>
      <w:lang w:eastAsia="en-US"/>
    </w:rPr>
  </w:style>
  <w:style w:customStyle="1" w:styleId="Normal14Char" w:type="character">
    <w:name w:val="Normal14 Char"/>
    <w:basedOn w:val="DefaultParagraphFont"/>
    <w:link w:val="Normal14"/>
    <w:rsid w:val="0021070B"/>
    <w:rPr>
      <w:rFonts w:ascii="TH Sarabun New" w:cs="TH Sarabun New" w:eastAsia="Times New Roman" w:hAnsi="TH Sarabun New"/>
      <w:sz w:val="28"/>
      <w:szCs w:val="28"/>
      <w:lang w:bidi="th-TH"/>
    </w:rPr>
  </w:style>
  <w:style w:customStyle="1" w:styleId="normaltextrun" w:type="character">
    <w:name w:val="normaltextrun"/>
    <w:basedOn w:val="DefaultParagraphFont"/>
    <w:rsid w:val="0021070B"/>
  </w:style>
  <w:style w:customStyle="1" w:styleId="NumberedList" w:type="numbering">
    <w:name w:val="Numbered List"/>
    <w:uiPriority w:val="99"/>
    <w:rsid w:val="0021070B"/>
    <w:pPr>
      <w:numPr>
        <w:numId w:val="18"/>
      </w:numPr>
    </w:pPr>
  </w:style>
  <w:style w:styleId="PageNumber" w:type="character">
    <w:name w:val="page number"/>
    <w:basedOn w:val="DefaultParagraphFont"/>
    <w:rsid w:val="0021070B"/>
  </w:style>
  <w:style w:customStyle="1" w:styleId="paragraph" w:type="paragraph">
    <w:name w:val="paragraph"/>
    <w:basedOn w:val="Normal"/>
    <w:rsid w:val="0021070B"/>
    <w:pPr>
      <w:spacing w:after="100" w:afterAutospacing="1" w:before="100" w:beforeAutospacing="1" w:line="240" w:lineRule="auto"/>
    </w:pPr>
    <w:rPr>
      <w:rFonts w:ascii="Times New Roman" w:cs="Times New Roman" w:eastAsia="Times New Roman" w:hAnsi="Times New Roman"/>
      <w:color w:val="auto"/>
      <w:sz w:val="24"/>
      <w:szCs w:val="24"/>
      <w:lang w:bidi="ar-SA" w:eastAsia="en-US"/>
    </w:rPr>
  </w:style>
  <w:style w:styleId="PlaceholderText" w:type="character">
    <w:name w:val="Placeholder Text"/>
    <w:basedOn w:val="DefaultParagraphFont"/>
    <w:uiPriority w:val="99"/>
    <w:unhideWhenUsed/>
    <w:rsid w:val="0021070B"/>
    <w:rPr>
      <w:color w:val="808080"/>
    </w:rPr>
  </w:style>
  <w:style w:styleId="Strong" w:type="character">
    <w:name w:val="Strong"/>
    <w:basedOn w:val="DefaultParagraphFont"/>
    <w:uiPriority w:val="22"/>
    <w:qFormat/>
    <w:rsid w:val="0021070B"/>
    <w:rPr>
      <w:b/>
      <w:bCs/>
    </w:rPr>
  </w:style>
  <w:style w:customStyle="1" w:styleId="SubtitleChar" w:type="character">
    <w:name w:val="Subtitle Char"/>
    <w:basedOn w:val="DefaultParagraphFont"/>
    <w:link w:val="Subtitle"/>
    <w:uiPriority w:val="11"/>
    <w:rsid w:val="00D37216"/>
    <w:rPr>
      <w:rFonts w:ascii="TH Sarabun New" w:cs="TH Sarabun New" w:hAnsi="TH Sarabun New"/>
      <w:i/>
      <w:spacing w:val="5"/>
      <w:lang w:bidi="th-TH" w:eastAsia="ja-JP"/>
    </w:rPr>
  </w:style>
  <w:style w:styleId="SubtleEmphasis" w:type="character">
    <w:name w:val="Subtle Emphasis"/>
    <w:basedOn w:val="DefaultParagraphFont"/>
    <w:uiPriority w:val="19"/>
    <w:qFormat/>
    <w:rsid w:val="0021070B"/>
    <w:rPr>
      <w:i/>
      <w:color w:themeColor="accent1" w:themeShade="BF" w:val="365F91"/>
    </w:rPr>
  </w:style>
  <w:style w:styleId="SubtleReference" w:type="character">
    <w:name w:val="Subtle Reference"/>
    <w:basedOn w:val="DefaultParagraphFont"/>
    <w:uiPriority w:val="31"/>
    <w:qFormat/>
    <w:rsid w:val="0021070B"/>
    <w:rPr>
      <w:rFonts w:cs="Times New Roman"/>
      <w:b/>
      <w:i/>
      <w:color w:themeColor="accent2" w:themeShade="BF" w:val="943634"/>
    </w:rPr>
  </w:style>
  <w:style w:styleId="TableGrid" w:type="table">
    <w:name w:val="Table Grid"/>
    <w:basedOn w:val="TableNormal"/>
    <w:uiPriority w:val="59"/>
    <w:rsid w:val="0021070B"/>
    <w:pPr>
      <w:spacing w:after="0"/>
    </w:pPr>
    <w:rPr>
      <w:rFonts w:cstheme="minorHAnsi"/>
      <w:sz w:val="22"/>
      <w:szCs w:val="22"/>
    </w:rPr>
    <w:tblPr>
      <w:tblBorders>
        <w:top w:color="000000" w:space="0" w:sz="4" w:themeColor="text1" w:val="single"/>
        <w:left w:color="000000" w:space="0" w:sz="4" w:themeColor="text1" w:val="single"/>
        <w:bottom w:color="000000" w:space="0" w:sz="4" w:themeColor="text1" w:val="single"/>
        <w:right w:color="000000" w:space="0" w:sz="4" w:themeColor="text1" w:val="single"/>
        <w:insideH w:color="000000" w:space="0" w:sz="4" w:themeColor="text1" w:val="single"/>
        <w:insideV w:color="000000" w:space="0" w:sz="4" w:themeColor="text1" w:val="single"/>
      </w:tblBorders>
    </w:tblPr>
  </w:style>
  <w:style w:styleId="TableofFigures" w:type="paragraph">
    <w:name w:val="table of figures"/>
    <w:basedOn w:val="Normal"/>
    <w:next w:val="Normal"/>
    <w:uiPriority w:val="99"/>
    <w:unhideWhenUsed/>
    <w:rsid w:val="0021070B"/>
    <w:pPr>
      <w:spacing w:after="0"/>
    </w:pPr>
  </w:style>
  <w:style w:customStyle="1" w:styleId="TitleChar" w:type="character">
    <w:name w:val="Title Char"/>
    <w:basedOn w:val="DefaultParagraphFont"/>
    <w:link w:val="Title"/>
    <w:uiPriority w:val="10"/>
    <w:rsid w:val="0021070B"/>
    <w:rPr>
      <w:rFonts w:asciiTheme="majorHAnsi" w:cs="TH Sarabun New" w:hAnsiTheme="majorHAnsi"/>
      <w:smallCaps/>
      <w:color w:themeColor="accent1" w:val="4F81BD"/>
      <w:spacing w:val="10"/>
      <w:sz w:val="48"/>
      <w:szCs w:val="48"/>
      <w:lang w:bidi="th-TH" w:eastAsia="ja-JP"/>
    </w:rPr>
  </w:style>
  <w:style w:styleId="TOC1" w:type="paragraph">
    <w:name w:val="toc 1"/>
    <w:basedOn w:val="Normal"/>
    <w:next w:val="Normal"/>
    <w:autoRedefine/>
    <w:uiPriority w:val="39"/>
    <w:unhideWhenUsed/>
    <w:qFormat/>
    <w:rsid w:val="0021070B"/>
    <w:pPr>
      <w:tabs>
        <w:tab w:leader="dot" w:pos="8366" w:val="left"/>
      </w:tabs>
      <w:spacing w:after="0" w:line="240" w:lineRule="auto"/>
    </w:pPr>
    <w:rPr>
      <w:rFonts w:eastAsia="Calibri"/>
      <w:b/>
      <w:bCs/>
      <w:noProof/>
      <w:color w:val="auto"/>
      <w:sz w:val="32"/>
      <w:szCs w:val="32"/>
      <w:lang w:eastAsia="en-US"/>
    </w:rPr>
  </w:style>
  <w:style w:styleId="TOC2" w:type="paragraph">
    <w:name w:val="toc 2"/>
    <w:basedOn w:val="Normal"/>
    <w:next w:val="Normal"/>
    <w:autoRedefine/>
    <w:uiPriority w:val="39"/>
    <w:unhideWhenUsed/>
    <w:qFormat/>
    <w:rsid w:val="0021070B"/>
    <w:pPr>
      <w:tabs>
        <w:tab w:leader="dot" w:pos="8366" w:val="left"/>
      </w:tabs>
      <w:spacing w:after="100"/>
      <w:ind w:left="280"/>
    </w:pPr>
  </w:style>
  <w:style w:styleId="TOC3" w:type="paragraph">
    <w:name w:val="toc 3"/>
    <w:basedOn w:val="Normal"/>
    <w:next w:val="Normal"/>
    <w:autoRedefine/>
    <w:uiPriority w:val="39"/>
    <w:unhideWhenUsed/>
    <w:qFormat/>
    <w:rsid w:val="0021070B"/>
    <w:pPr>
      <w:tabs>
        <w:tab w:leader="dot" w:pos="8370" w:val="right"/>
      </w:tabs>
      <w:spacing w:after="100"/>
      <w:ind w:left="560"/>
    </w:pPr>
  </w:style>
  <w:style w:styleId="TOC4" w:type="paragraph">
    <w:name w:val="toc 4"/>
    <w:basedOn w:val="Normal"/>
    <w:next w:val="Normal"/>
    <w:autoRedefine/>
    <w:uiPriority w:val="39"/>
    <w:unhideWhenUsed/>
    <w:rsid w:val="0021070B"/>
    <w:pPr>
      <w:spacing w:after="100"/>
      <w:ind w:left="660"/>
    </w:pPr>
    <w:rPr>
      <w:rFonts w:asciiTheme="minorHAnsi" w:cstheme="minorBidi" w:eastAsiaTheme="minorEastAsia" w:hAnsiTheme="minorHAnsi"/>
      <w:color w:val="auto"/>
      <w:sz w:val="22"/>
      <w:lang w:eastAsia="en-US"/>
    </w:rPr>
  </w:style>
  <w:style w:styleId="TOC5" w:type="paragraph">
    <w:name w:val="toc 5"/>
    <w:basedOn w:val="Normal"/>
    <w:next w:val="Normal"/>
    <w:autoRedefine/>
    <w:uiPriority w:val="39"/>
    <w:unhideWhenUsed/>
    <w:rsid w:val="0021070B"/>
    <w:pPr>
      <w:spacing w:after="100"/>
      <w:ind w:left="880"/>
    </w:pPr>
    <w:rPr>
      <w:rFonts w:asciiTheme="minorHAnsi" w:cstheme="minorBidi" w:eastAsiaTheme="minorEastAsia" w:hAnsiTheme="minorHAnsi"/>
      <w:color w:val="auto"/>
      <w:sz w:val="22"/>
      <w:lang w:eastAsia="en-US"/>
    </w:rPr>
  </w:style>
  <w:style w:styleId="TOC6" w:type="paragraph">
    <w:name w:val="toc 6"/>
    <w:basedOn w:val="Normal"/>
    <w:next w:val="Normal"/>
    <w:autoRedefine/>
    <w:uiPriority w:val="39"/>
    <w:unhideWhenUsed/>
    <w:rsid w:val="0021070B"/>
    <w:pPr>
      <w:spacing w:after="100"/>
      <w:ind w:left="1100"/>
    </w:pPr>
    <w:rPr>
      <w:rFonts w:asciiTheme="minorHAnsi" w:cstheme="minorBidi" w:eastAsiaTheme="minorEastAsia" w:hAnsiTheme="minorHAnsi"/>
      <w:color w:val="auto"/>
      <w:sz w:val="22"/>
      <w:lang w:eastAsia="en-US"/>
    </w:rPr>
  </w:style>
  <w:style w:styleId="TOC7" w:type="paragraph">
    <w:name w:val="toc 7"/>
    <w:basedOn w:val="Normal"/>
    <w:next w:val="Normal"/>
    <w:autoRedefine/>
    <w:uiPriority w:val="39"/>
    <w:unhideWhenUsed/>
    <w:rsid w:val="0021070B"/>
    <w:pPr>
      <w:spacing w:after="100"/>
      <w:ind w:left="1320"/>
    </w:pPr>
    <w:rPr>
      <w:rFonts w:asciiTheme="minorHAnsi" w:cstheme="minorBidi" w:eastAsiaTheme="minorEastAsia" w:hAnsiTheme="minorHAnsi"/>
      <w:color w:val="auto"/>
      <w:sz w:val="22"/>
      <w:lang w:eastAsia="en-US"/>
    </w:rPr>
  </w:style>
  <w:style w:styleId="TOC8" w:type="paragraph">
    <w:name w:val="toc 8"/>
    <w:basedOn w:val="Normal"/>
    <w:next w:val="Normal"/>
    <w:autoRedefine/>
    <w:uiPriority w:val="39"/>
    <w:unhideWhenUsed/>
    <w:rsid w:val="0021070B"/>
    <w:pPr>
      <w:spacing w:after="100"/>
      <w:ind w:left="1540"/>
    </w:pPr>
    <w:rPr>
      <w:rFonts w:asciiTheme="minorHAnsi" w:cstheme="minorBidi" w:eastAsiaTheme="minorEastAsia" w:hAnsiTheme="minorHAnsi"/>
      <w:color w:val="auto"/>
      <w:sz w:val="22"/>
      <w:lang w:eastAsia="en-US"/>
    </w:rPr>
  </w:style>
  <w:style w:styleId="TOC9" w:type="paragraph">
    <w:name w:val="toc 9"/>
    <w:basedOn w:val="Normal"/>
    <w:next w:val="Normal"/>
    <w:autoRedefine/>
    <w:uiPriority w:val="39"/>
    <w:unhideWhenUsed/>
    <w:rsid w:val="0021070B"/>
    <w:pPr>
      <w:spacing w:after="100"/>
      <w:ind w:left="1760"/>
    </w:pPr>
    <w:rPr>
      <w:rFonts w:asciiTheme="minorHAnsi" w:cstheme="minorBidi" w:eastAsiaTheme="minorEastAsia" w:hAnsiTheme="minorHAnsi"/>
      <w:color w:val="auto"/>
      <w:sz w:val="22"/>
      <w:lang w:eastAsia="en-US"/>
    </w:rPr>
  </w:style>
  <w:style w:styleId="UnresolvedMention" w:type="character">
    <w:name w:val="Unresolved Mention"/>
    <w:basedOn w:val="DefaultParagraphFont"/>
    <w:uiPriority w:val="99"/>
    <w:semiHidden/>
    <w:unhideWhenUsed/>
    <w:rsid w:val="0021070B"/>
    <w:rPr>
      <w:color w:val="605E5C"/>
      <w:shd w:color="auto" w:fill="E1DFDD" w:val="clear"/>
    </w:rPr>
  </w:style>
  <w:style w:customStyle="1" w:styleId="UnresolvedMention1" w:type="character">
    <w:name w:val="Unresolved Mention1"/>
    <w:basedOn w:val="DefaultParagraphFont"/>
    <w:uiPriority w:val="99"/>
    <w:semiHidden/>
    <w:unhideWhenUsed/>
    <w:rsid w:val="0021070B"/>
    <w:rPr>
      <w:color w:val="808080"/>
      <w:shd w:color="auto" w:fill="E6E6E6" w:val="clear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allowPNG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8" Target="numbering.xml" /><Relationship Type="http://schemas.openxmlformats.org/officeDocument/2006/relationships/styles" Id="rId17" Target="styles.xml" /><Relationship Type="http://schemas.openxmlformats.org/officeDocument/2006/relationships/settings" Id="rId16" Target="settings.xml" /><Relationship Type="http://schemas.openxmlformats.org/officeDocument/2006/relationships/webSettings" Id="rId15" Target="webSettings.xml" /><Relationship Type="http://schemas.openxmlformats.org/officeDocument/2006/relationships/fontTable" Id="rId14" Target="fontTable.xml" /><Relationship Type="http://schemas.openxmlformats.org/officeDocument/2006/relationships/theme" Id="rId13" Target="theme/theme1.xml" /><Relationship Type="http://schemas.openxmlformats.org/officeDocument/2006/relationships/footnotes" Id="rId12" Target="footnotes.xml" /><Relationship Type="http://schemas.openxmlformats.org/officeDocument/2006/relationships/comments" Id="rId11" Target="comments.xml" /><Relationship Id="rId10" Target="footer1.xml" Type="http://schemas.openxmlformats.org/officeDocument/2006/relationships/footer" /><Relationship Id="rId9" Target="header1.xml" Type="http://schemas.openxmlformats.org/officeDocument/2006/relationships/header" /><Relationship Type="http://schemas.openxmlformats.org/officeDocument/2006/relationships/image" Id="rId19" Target="media/rId19.png" /><Relationship Type="http://schemas.openxmlformats.org/officeDocument/2006/relationships/image" Id="rId31" Target="media/rId31.png" /><Relationship Type="http://schemas.openxmlformats.org/officeDocument/2006/relationships/image" Id="rId43" Target="media/rId43.png" /><Relationship Type="http://schemas.openxmlformats.org/officeDocument/2006/relationships/image" Id="rId46" Target="media/rId46.png" /><Relationship Type="http://schemas.openxmlformats.org/officeDocument/2006/relationships/image" Id="rId58" Target="media/rId58.png" /><Relationship Type="http://schemas.openxmlformats.org/officeDocument/2006/relationships/image" Id="rId79" Target="media/rId79.png" /><Relationship Type="http://schemas.openxmlformats.org/officeDocument/2006/relationships/image" Id="rId89" Target="media/rId89.png" /><Relationship Type="http://schemas.openxmlformats.org/officeDocument/2006/relationships/image" Id="rId92" Target="media/rId92.png" /><Relationship Type="http://schemas.openxmlformats.org/officeDocument/2006/relationships/image" Id="rId66" Target="media/rId66.png" /><Relationship Type="http://schemas.openxmlformats.org/officeDocument/2006/relationships/image" Id="rId84" Target="media/rId84.png" /><Relationship Type="http://schemas.openxmlformats.org/officeDocument/2006/relationships/image" Id="rId34" Target="media/rId34.png" /><Relationship Type="http://schemas.openxmlformats.org/officeDocument/2006/relationships/image" Id="rId40" Target="media/rId40.png" /><Relationship Type="http://schemas.openxmlformats.org/officeDocument/2006/relationships/image" Id="rId25" Target="media/rId25.png" /><Relationship Type="http://schemas.openxmlformats.org/officeDocument/2006/relationships/image" Id="rId28" Target="media/rId28.png" /><Relationship Type="http://schemas.openxmlformats.org/officeDocument/2006/relationships/image" Id="rId71" Target="media/rId71.png" /><Relationship Type="http://schemas.openxmlformats.org/officeDocument/2006/relationships/image" Id="rId22" Target="media/rId22.png" /><Relationship Type="http://schemas.openxmlformats.org/officeDocument/2006/relationships/image" Id="rId61" Target="media/rId61.png" /><Relationship Type="http://schemas.openxmlformats.org/officeDocument/2006/relationships/image" Id="rId74" Target="media/rId74.png" /><Relationship Type="http://schemas.openxmlformats.org/officeDocument/2006/relationships/image" Id="rId49" Target="media/rId49.png" /><Relationship Type="http://schemas.openxmlformats.org/officeDocument/2006/relationships/image" Id="rId37" Target="media/rId37.png" /></Relationships>
</file>

<file path=word/_rels/footnotes.xml.rels><?xml version="1.0" encoding="UTF-8"?><Relationships xmlns="http://schemas.openxmlformats.org/package/2006/relationships" /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313</TotalTime>
  <Pages>2</Pages>
  <Words>63</Words>
  <Characters>362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Title</vt:lpstr>
    </vt:vector>
  </TitlesOfParts>
  <Company/>
  <LinksUpToDate>false</LinksUpToDate>
  <CharactersWithSpaces>424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2025-06-26T02:33:07Z</dcterms:created>
  <dcterms:modified xsi:type="dcterms:W3CDTF">2025-06-26T02:33:07Z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