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14.png" ContentType="image/png"/>
  <Override PartName="/word/media/rId117.png" ContentType="image/png"/>
  <Override PartName="/word/media/rId28.png" ContentType="image/png"/>
  <Override PartName="/word/media/rId81.png" ContentType="image/png"/>
  <Override PartName="/word/media/rId31.png" ContentType="image/png"/>
  <Override PartName="/word/media/rId25.png" ContentType="image/png"/>
  <Override PartName="/word/media/rId56.png" ContentType="image/png"/>
  <Override PartName="/word/media/rId48.png" ContentType="image/png"/>
  <Override PartName="/word/media/rId45.png" ContentType="image/png"/>
  <Override PartName="/word/media/rId78.png" ContentType="image/png"/>
  <Override PartName="/word/media/rId61.png" ContentType="image/png"/>
  <Override PartName="/word/media/rId34.png" ContentType="image/png"/>
  <Override PartName="/word/media/rId75.png" ContentType="image/png"/>
  <Override PartName="/word/media/rId37.png" ContentType="image/png"/>
  <Override PartName="/word/media/rId66.png" ContentType="image/png"/>
  <Override PartName="/word/media/rId86.png" ContentType="image/png"/>
  <Override PartName="/word/media/rId19.png" ContentType="image/png"/>
  <Override PartName="/word/media/rId40.png" ContentType="image/png"/>
  <Override PartName="/word/media/rId22.png" ContentType="image/png"/>
  <Override PartName="/word/media/rId51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1" w:name="ผงบญชคาจางลกจางประจำ"/>
    <w:p>
      <w:pPr>
        <w:pStyle w:val="Heading1"/>
      </w:pPr>
      <w:r>
        <w:t xml:space="preserve">ผังบัญชีค่าจ้างลูกจ้างประจำ</w:t>
      </w:r>
    </w:p>
    <w:bookmarkStart w:id="107" w:name="ชอผงบญชอตราคาจาง"/>
    <w:p>
      <w:pPr>
        <w:pStyle w:val="Heading2"/>
      </w:pPr>
      <w:r>
        <w:t xml:space="preserve">ชื่อผังบัญชีอัตราค่าจ้าง</w:t>
      </w:r>
    </w:p>
    <w:p>
      <w:pPr>
        <w:pStyle w:val="FirstParagraph"/>
      </w:pPr>
      <w:r>
        <w:t xml:space="preserve">การเพิ่มข้อมูลรายการผังบัญชีอัตราค่าจ้างของลูกจ้างประจำ 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plus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“เพิ่มผังบัญชีค่าจ้างลูกจ้างประจำ” ทำการกรอกข้อมูลให้ครบตามที่ระบบแนะนำ หากทำการกรอกข้อมูลเสร็จสิ้น ให้ทำการคลิก</w:t>
      </w:r>
      <w:r>
        <w:drawing>
          <wp:inline>
            <wp:extent cx="510138" cy="298383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ave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8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หรือหากต้องการปิดหน้าต่างหรือยกเลิกการเพิ่มข้อมูลรายการผังบัญชีค่าจ้างลูกจ้างประจำ ให้ทำการคลิก</w:t>
      </w:r>
      <w:r>
        <w:drawing>
          <wp:inline>
            <wp:extent cx="180000" cy="194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lose-popup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ระบบปิดหน้าต่างเพิ่มผังบัญชีค่าจ้างลูกจ้างประจำทันที ทุกรายการผังบัญชีค่าจ้างหากกลุ่มงานผังบัญชีอัตราค่าจ้างซ้ำกัน จะสามารถมีเพียงแค่ 1 รายการเท่านั้นที่สามารถแสดงสถานะการเปิดใช้งานโดยรายการที่เหลือจะแสดงสถานะปิดการใช้งานทั้งหมด</w:t>
      </w:r>
    </w:p>
    <w:p>
      <w:pPr>
        <w:pStyle w:val="Compact"/>
        <w:numPr>
          <w:ilvl w:val="0"/>
          <w:numId w:val="1001"/>
        </w:numPr>
      </w:pPr>
      <w:r>
        <w:t xml:space="preserve">กฎเกณฑ์การเพิ่มข้อมูลรายการผังบัญชีค่าจ้างลูกจ้างประจำคือ หากทำการเพิ่มรายการผังบัญชีค่าจ้างเสร็จสิ้น ระบบแสดงสถานะรายการปิดการใช้งาน แต่หากมั่นใจว่าข้อมูลถูกต้องแล้วให้ทำการเปิดสถานการณ์ใช้งาน หากทำการเปิดสถานะการใช้งานแล้วจะไม่สามารถทำการลบหรือแก้ไขข้อมูลได้</w:t>
      </w:r>
    </w:p>
    <w:p>
      <w:pPr>
        <w:pStyle w:val="CaptionedFigure"/>
      </w:pPr>
      <w:r>
        <w:drawing>
          <wp:inline>
            <wp:extent cx="5943600" cy="1997049"/>
            <wp:effectExtent b="0" l="0" r="0" t="0"/>
            <wp:docPr descr="รูปภาพที่ 16 – 8 เพิ่มข้อมูลรายการผังบัญชีค่าจ้างลูกจ้างประจำ" title="" id="29" name="Picture"/>
            <a:graphic>
              <a:graphicData uri="http://schemas.openxmlformats.org/drawingml/2006/picture">
                <pic:pic>
                  <pic:nvPicPr>
                    <pic:cNvPr descr="images/admin/chapter16/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7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8 เพิ่มข้อมูลรายการผังบัญชีค่าจ้างลูกจ้างประจำ</w:t>
      </w:r>
    </w:p>
    <w:p>
      <w:pPr>
        <w:pStyle w:val="BlockText"/>
      </w:pPr>
      <w:r>
        <w:t xml:space="preserve">หมายเลข 1 ช่องสำหรับคลิกเพื่อกรอกชื่อผังบัญชีอัตราค่าจ้าง</w:t>
      </w:r>
      <w:r>
        <w:br/>
      </w:r>
      <w:r>
        <w:t xml:space="preserve">หมายเลข 2 ช่องสำหรับคลิกเพื่อกรอกจำนวนตัวเลขกลุ่มของผังบัญชีอัตราค่าจ้าง</w:t>
      </w:r>
      <w:r>
        <w:br/>
      </w:r>
      <w:r>
        <w:t xml:space="preserve">หมายเลข 3 ช่องสำหรับคลิกเพื่อกรอกคำอธิบาย</w:t>
      </w:r>
      <w:r>
        <w:br/>
      </w:r>
      <w:r>
        <w:t xml:space="preserve">หมายเลข 4 ปุ่มสำหรับคลิกเพื่อเปิดสถานะการใช้งานหรือปิดสถานะการใช้งานของผังบัญชีค่าจ้าง</w:t>
      </w:r>
      <w:r>
        <w:br/>
      </w:r>
      <w:r>
        <w:t xml:space="preserve">หมายเลข 5 ปุ่มสำหรับคลิกเพื่อบันทึกการเพิ่มข้อมูลรายการผังบัญชีค่าจ้างลูกจ้างประจำ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ไอคอนสำหรับคลิกเพื่อปิดหน้าต่างหรือยกเลิกการเพิ่มข้อมูลรายการผังบัญชีค่าจ้างลูกจ้างประจำ</w:t>
      </w:r>
    </w:p>
    <w:p>
      <w:pPr>
        <w:numPr>
          <w:ilvl w:val="0"/>
          <w:numId w:val="1002"/>
        </w:numPr>
      </w:pPr>
      <w:r>
        <w:t xml:space="preserve">การแก้ไขข้อมูลรายการผังบัญชีค่าจ้างลูกจ้างประจำจะสามารถแก้ไขได้ต่อเมื่อสถานะแสดง</w:t>
      </w:r>
      <w:r>
        <w:drawing>
          <wp:inline>
            <wp:extent cx="136800" cy="1440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lose-grey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หรือปิดการใช้งาน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dot-grey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หลังรายการผังบัญชีค่าจ้าง ระบบแสดงเมนูย่อย ให้ทำการคลิกเลือกเมนู</w:t>
      </w:r>
      <w:r>
        <w:drawing>
          <wp:inline>
            <wp:extent cx="644892" cy="279132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edit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 “แก้ไขผังบัญชีค่าจ้างลูกจ้างประจำ” ทำการกรอกข้อมูลแก้ไข หากทำการกรอกข้อมูลแก้ไขเสร็จสิ้น ทำการคลิก</w:t>
      </w:r>
      <w:r>
        <w:drawing>
          <wp:inline>
            <wp:extent cx="331200" cy="1656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ave-blue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และยืนยันการบันทึกข้อมูลการแก้ไข หรือหากต้องการปิดหน้าต่างหรือยกเลิกการแก้ไขข้อมูล ให้ทำการคลิก</w:t>
      </w:r>
      <w:r>
        <w:drawing>
          <wp:inline>
            <wp:extent cx="180000" cy="1944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close-popup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ระบบปิดหน้าต่างแก้ไขผังบัญชีค่าจ้างลูกจ้างประจำทันที</w:t>
      </w:r>
    </w:p>
    <w:p>
      <w:pPr>
        <w:numPr>
          <w:ilvl w:val="0"/>
          <w:numId w:val="1002"/>
        </w:numPr>
      </w:pPr>
      <w:r>
        <w:t xml:space="preserve">หากในกรณีต้องการแก้ไขข้อมูลรายการที่สถานะแสดง</w:t>
      </w:r>
      <w:r>
        <w:drawing>
          <wp:inline>
            <wp:extent cx="151200" cy="1368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orrect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ให้ทำการใช้เมาส์คลิก</w:t>
      </w:r>
      <w:r>
        <w:drawing>
          <wp:inline>
            <wp:extent cx="432000" cy="1152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copy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drawing>
          <wp:inline>
            <wp:extent cx="1328286" cy="259882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status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286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ระบบทำการคัดลอกรายการผังบัญชีค่าจ้าง โดยแสดงสถานะในรายการที่คัดลอกเป็นสถานะ “ปิดใช้งาน” ให้ทำการแก้ไขข้อมูลผังบัญชีค่าจ้างในรายการที่ทำการคัดลอก หากทำการแก้ไขข้อมูลเสร็จสิ้น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-blue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เพื่อเปิดสถานะการใช้งาน จากนั้นทำการใช้เมาส์คลิก และยืนยันการบันทึกข้อมูล ระบบแสดงรายการผังบัญชีค่าจ้างรายการที่คัดลอกแสดงสถานะใช้งาน และรายการผังบัญชีค่าจ้างที่ถูกคัดลอกแสดงสถานะปิดการใช้งาน</w:t>
      </w:r>
    </w:p>
    <w:p>
      <w:pPr>
        <w:numPr>
          <w:ilvl w:val="0"/>
          <w:numId w:val="1002"/>
        </w:numPr>
      </w:pPr>
      <w:r>
        <w:t xml:space="preserve">การลบรายการผังบัญชีค่าจ้าง จะสามารถลบได้เฉพาะรายการผังบัญชีเงินเดือนที่แสดงสถานะการใช้งาน</w:t>
      </w:r>
      <w:r>
        <w:drawing>
          <wp:inline>
            <wp:extent cx="144000" cy="1512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close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หรือแสดงสถานะปิดการใช้งานเท่านั้น โดยการลบรายการผังบัญชีค่าจ้าง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dot-grey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หลังรายชื่อผังบัญชีค่าจ้างลูกจ้างประจำ ระบบแสดงเมนูย่อย ทำการคลิกเลือกเมนู</w:t>
      </w:r>
      <w:r>
        <w:drawing>
          <wp:inline>
            <wp:extent cx="731520" cy="279132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delete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และยืนยันการลบข้อมูล ระบบทำการลบรายการผังบัญชีค่าจ้างลูกจ้างประจำทันทีที่ยืนยัน</w:t>
      </w:r>
    </w:p>
    <w:p>
      <w:pPr>
        <w:numPr>
          <w:ilvl w:val="0"/>
          <w:numId w:val="1002"/>
        </w:numPr>
      </w:pPr>
      <w:r>
        <w:t xml:space="preserve">การอัปโหลดเอกสารอ้างอิงในรายการผังบัญชีค่าจ้าง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dot-grey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 ทำการคลิกเมนู</w:t>
      </w:r>
      <w:r>
        <w:drawing>
          <wp:inline>
            <wp:extent cx="655200" cy="1152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file-refer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 “อัปโหลดเอกสารอ้างอิง” ให้ทำการใช้เมาส์คคลิก</w:t>
      </w:r>
      <w:r>
        <w:drawing>
          <wp:inline>
            <wp:extent cx="576000" cy="1224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upload-doc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จากนั้นทำการเลือกไฟล์เอกสารที่ต้องการอัปโหลด หากทำการคลิกเลือกไฟล์เสร็จสิ้น ให้ทำการคลิก</w:t>
      </w:r>
      <w:r>
        <w:drawing>
          <wp:inline>
            <wp:extent cx="221381" cy="250256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upload-green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เพื่อยืนยันการอัปโหลดไฟล์ ระบบแสดงรายการเอกสารที่ทำการอัปโหลด โดยสามารถทำการคลิก</w:t>
      </w:r>
      <w:r>
        <w:drawing>
          <wp:inline>
            <wp:extent cx="187200" cy="2088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download-blue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เพื่อดาวน์โหลดเอกสาร หรือหากต้องการลบรายการเอกสารอ้างอิง ให้ทำการใช้เมาส์คลิก</w:t>
      </w:r>
      <w:r>
        <w:drawing>
          <wp:inline>
            <wp:extent cx="240631" cy="298383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delete-red2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โดยในส่วนการอัปโหลดเอกสารจะสามารถอัปโหลดเอกสารในรายการผังบัญชีค่าจ้างที่สถานะปิดการใช้งานเท่านั้น ส่วนรายการผังบัญชีค่าจ้างที่สถานะเปิดการใช้งานจะสามารถดาวน์โหลดเอกสารได้เท่านั้น หากมีเอกสารให้ดาวน์โหลด</w:t>
      </w:r>
    </w:p>
    <w:p>
      <w:pPr>
        <w:pStyle w:val="CaptionedFigure"/>
      </w:pPr>
      <w:r>
        <w:drawing>
          <wp:inline>
            <wp:extent cx="5943600" cy="1357723"/>
            <wp:effectExtent b="0" l="0" r="0" t="0"/>
            <wp:docPr descr="รูปภาพที่ 16 – 9 อัปโหลดไฟล์เอกสารอ้างอิง" title="" id="82" name="Picture"/>
            <a:graphic>
              <a:graphicData uri="http://schemas.openxmlformats.org/drawingml/2006/picture">
                <pic:pic>
                  <pic:nvPicPr>
                    <pic:cNvPr descr="images/admin/chapter16/9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7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9 อัปโหลดไฟล์เอกสารอ้างอิง</w:t>
      </w:r>
    </w:p>
    <w:p>
      <w:pPr>
        <w:pStyle w:val="BodyText"/>
      </w:pPr>
      <w:r>
        <w:t xml:space="preserve">หมายเลข 1 ช่องสำหรับคลิกเพื่อเลือกไฟล์เอกสารอ้างอิงที่ต้องการอัปโหลด</w:t>
      </w:r>
      <w:r>
        <w:br/>
      </w:r>
      <w:r>
        <w:t xml:space="preserve">&gt; หมายเลข 2 ไอคอนสำหรับคลิกเพื่อยืนยันการอัปโหลดไฟล์เอกสารอ้างอิง</w:t>
      </w:r>
      <w:r>
        <w:br/>
      </w:r>
      <w:r>
        <w:t xml:space="preserve">&gt; หมายเลข 3 ช่องสำหรับแสดงรายการเอกสารอ้างอิงที่อัปโหลด</w:t>
      </w:r>
      <w:r>
        <w:br/>
      </w:r>
      <w:r>
        <w:t xml:space="preserve">&gt; หมายเลข 4 ไอคอนสำหรับคลิกเพื่อดาวน์โหลดไฟล์เอกสารอ้างอิง</w:t>
      </w:r>
      <w:r>
        <w:br/>
      </w:r>
      <w:r>
        <w:t xml:space="preserve">&gt; หมายเลข 5 ไอคอนสำหรับคลิกเพื่อลบรายการไฟล์เอกสารอ้างอิง</w:t>
      </w:r>
      <w:r>
        <w:br/>
      </w:r>
      <w:r>
        <w:t xml:space="preserve">&gt; หมายเลข 6 ไอคอนสำหรับคลิกเพื่อปิดหน้าต่างหรือยกเลิกการเพิ่มไฟล์เอกสารอ้างอิง</w:t>
      </w:r>
    </w:p>
    <w:p>
      <w:pPr>
        <w:pStyle w:val="Compact"/>
        <w:numPr>
          <w:ilvl w:val="0"/>
          <w:numId w:val="1003"/>
        </w:numPr>
      </w:pPr>
      <w:r>
        <w:t xml:space="preserve">การเพิ่มข้อมูลอัตราค่าจ้าง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dot-grey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 ทำการคลิกเมนู</w:t>
      </w:r>
      <w:r>
        <w:drawing>
          <wp:inline>
            <wp:extent cx="784800" cy="1656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list-employment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“อัตราค่าจ้าง” ทำการคลิก</w:t>
      </w:r>
      <w:r>
        <w:drawing>
          <wp:inline>
            <wp:extent cx="198226" cy="217409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plus-green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 “เพิ่มอัตราค่าจ้าง” เพิ่มข้อมูลให้ครบตามที่ระบบแนะนำ แต่หากข้อมูลในช่องไหนไม่มีก็สามารถเว้นว่างไว้ได้ หากทำการกรอกข้อมูลเสร็จสิ้น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save-blu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ระบบแสดงรายการอัตราค่าจ้าง และหากต้องการปิดหน้าต่างหรือยกเลิกการเพิ่มข้อมูลอัตราค่าจ้าง ให้ทำการคลิก</w:t>
      </w:r>
      <w:r>
        <w:drawing>
          <wp:inline>
            <wp:extent cx="180000" cy="1944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close-popup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ระบบทำการปิดหน้าต่างเพิ่มอัตราเงินเดือนทันที</w:t>
      </w:r>
    </w:p>
    <w:p>
      <w:pPr>
        <w:pStyle w:val="CaptionedFigure"/>
      </w:pPr>
      <w:r>
        <w:drawing>
          <wp:inline>
            <wp:extent cx="5943600" cy="2965796"/>
            <wp:effectExtent b="0" l="0" r="0" t="0"/>
            <wp:docPr descr="รูปภาพที่ 16 – 10 เพิ่มข้อมูลรายการอัตราค่าจ้าง" title="" id="96" name="Picture"/>
            <a:graphic>
              <a:graphicData uri="http://schemas.openxmlformats.org/drawingml/2006/picture">
                <pic:pic>
                  <pic:nvPicPr>
                    <pic:cNvPr descr="images/admin/chapter16/10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5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10 เพิ่มข้อมูลรายการอัตราค่าจ้าง</w:t>
      </w:r>
    </w:p>
    <w:p>
      <w:pPr>
        <w:pStyle w:val="BlockText"/>
      </w:pPr>
      <w:r>
        <w:t xml:space="preserve">หมายเลข 1 ช่องสำหรับคลิกเพื่อกรอกลำดับชั้น</w:t>
      </w:r>
      <w:r>
        <w:br/>
      </w:r>
      <w:r>
        <w:t xml:space="preserve">หมายเลข 2 ช่องสำหรับคลิกเพื่อกรอกจำนวนตัวเลขอัตราค่าจ้าง/ขั้นวิ่ง (รายเดือน)</w:t>
      </w:r>
      <w:r>
        <w:br/>
      </w:r>
      <w:r>
        <w:t xml:space="preserve">หมายเลข 3 ช่องสำหรับคลิกเพื่อกรอกจำนวนตัวเลขอัตราค่าจ้าง/ขั้นวิ่ง (รายวัน)</w:t>
      </w:r>
      <w:r>
        <w:br/>
      </w:r>
      <w:r>
        <w:t xml:space="preserve">หมายเลข 4 ปุ่มสำหรับคลิกเพื่อบันทึกข้อมูลรายการอัตราค่าจ้าง</w:t>
      </w:r>
      <w:r>
        <w:br/>
      </w:r>
      <w:r>
        <w:t xml:space="preserve">หมายเลข 5 ไอคอนสำหรับคลิกเพื่อปิดหน้าต่างหรือยกเลิกการเพิ่มข้อมูลรายการอัตราค่าจ้าง</w:t>
      </w:r>
    </w:p>
    <w:p>
      <w:pPr>
        <w:pStyle w:val="CaptionedFigure"/>
      </w:pPr>
      <w:r>
        <w:drawing>
          <wp:inline>
            <wp:extent cx="5943600" cy="2843039"/>
            <wp:effectExtent b="0" l="0" r="0" t="0"/>
            <wp:docPr descr="รูปภาพที่ 16 –11 รายการอัตราค่าจ้าง" title="" id="99" name="Picture"/>
            <a:graphic>
              <a:graphicData uri="http://schemas.openxmlformats.org/drawingml/2006/picture">
                <pic:pic>
                  <pic:nvPicPr>
                    <pic:cNvPr descr="images/admin/chapter16/11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3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–11 รายการอัตราค่าจ้าง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ไอคอนสำหรับคลิกเพื่อเพิ่มข้อมูลรายการอัตราค่าจ้างของลูกจ้างประจำ</w:t>
      </w:r>
      <w:r>
        <w:br/>
      </w:r>
      <w:r>
        <w:t xml:space="preserve">หมายเลข 2 ช่องสำหรับแสดงข้อมูลรายการอัตราค่าจ้างของลูกจ้างประจำ</w:t>
      </w:r>
      <w:r>
        <w:br/>
      </w:r>
      <w:r>
        <w:t xml:space="preserve">หมายเลข 3 ไอคอนสำหรับคลิกเพื่อแสดงเมนูย่อย แก้ไขและลบข้อมูลรายการอัตราค่าจ้าง</w:t>
      </w:r>
      <w:r>
        <w:br/>
      </w:r>
      <w:r>
        <w:t xml:space="preserve">หมายเลข 4 ปุ่มสำหรับคลิกเพื่อดาวน์โหลดไฟล์ .xlsx อัตราค่าจ้างของลูกจ้างประจำตามกลุ่มงานที่ได้ทำการคลิกเลือก</w:t>
      </w:r>
    </w:p>
    <w:p>
      <w:pPr>
        <w:pStyle w:val="CaptionedFigure"/>
      </w:pPr>
      <w:r>
        <w:drawing>
          <wp:inline>
            <wp:extent cx="5943600" cy="4934071"/>
            <wp:effectExtent b="0" l="0" r="0" t="0"/>
            <wp:docPr descr="รูปภาพที่ 16 – 12 ตัวอย่างไฟล์อัตราค่าจ้างที่ได้ทำการคลิกดาวน์โหลด" title="" id="102" name="Picture"/>
            <a:graphic>
              <a:graphicData uri="http://schemas.openxmlformats.org/drawingml/2006/picture">
                <pic:pic>
                  <pic:nvPicPr>
                    <pic:cNvPr descr="images/admin/chapter16/12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34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12 ตัวอย่างไฟล์อัตราค่าจ้างที่ได้ทำการคลิกดาวน์โหลด</w:t>
      </w:r>
    </w:p>
    <w:p>
      <w:pPr>
        <w:pStyle w:val="CaptionedFigure"/>
      </w:pPr>
      <w:r>
        <w:drawing>
          <wp:inline>
            <wp:extent cx="5943600" cy="2569966"/>
            <wp:effectExtent b="0" l="0" r="0" t="0"/>
            <wp:docPr descr="รูปภาพที่ 16 – 13 ผังบัญชีค่าจ้างลูกจ้างประจำ" title="" id="105" name="Picture"/>
            <a:graphic>
              <a:graphicData uri="http://schemas.openxmlformats.org/drawingml/2006/picture">
                <pic:pic>
                  <pic:nvPicPr>
                    <pic:cNvPr descr="images/admin/chapter16/13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9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13 ผังบัญชีค่าจ้างลูกจ้างประจำ</w:t>
      </w:r>
    </w:p>
    <w:p>
      <w:pPr>
        <w:pStyle w:val="BlockText"/>
      </w:pPr>
      <w:r>
        <w:t xml:space="preserve">หมายเลข 1 เมนู “ชื่อผังบัญชีอัตราค่าจ้าง”</w:t>
      </w:r>
      <w:r>
        <w:br/>
      </w:r>
      <w:r>
        <w:t xml:space="preserve">หมายเลข 2 ไอคอนสำหรับคลิกเพื่อเพิ่มข้อมูลรายการผังบัญชีอัตราค่าจ้าง</w:t>
      </w:r>
      <w:r>
        <w:br/>
      </w:r>
      <w:r>
        <w:t xml:space="preserve">หมายเลข 3 ช่องสำหรับแสดงรายการผังบัญชีอัตราค่าจ้าง พร้อมแสดงสถานะเปิดใช้งาน</w:t>
      </w:r>
      <w:r>
        <w:br/>
      </w:r>
      <w:r>
        <w:t xml:space="preserve">หมายเลข 4 ช่องสำหรับแสดงรายการผังบัญชีอัตราค่าจ้างที่ได้ทำการคัดลอก ระบบแสดงสถานะรายการปิดการใช้งาน</w:t>
      </w:r>
      <w:r>
        <w:br/>
      </w:r>
      <w:r>
        <w:t xml:space="preserve">หมายเลข 5 ไอคอนสำหรับคลิกเพื่อแสดงเมนูย่อย แก้ไข เอกสารอ้างอิง อัตราค่าจ้าง คัดลอก ลบ</w:t>
      </w:r>
      <w:r>
        <w:br/>
      </w:r>
      <w:r>
        <w:t xml:space="preserve">หมายเลข 6 ช่องสำหรับคลิกเพื่อกรอกข้อมูลค้นหารายการชื่อผังบัญชีอัตราค่าจ้าง</w:t>
      </w:r>
    </w:p>
    <w:bookmarkEnd w:id="107"/>
    <w:bookmarkStart w:id="120" w:name="หลกเกณฑ"/>
    <w:p>
      <w:pPr>
        <w:pStyle w:val="Heading2"/>
      </w:pPr>
      <w:r>
        <w:t xml:space="preserve">หลักเกณฑ์</w:t>
      </w:r>
    </w:p>
    <w:p>
      <w:pPr>
        <w:pStyle w:val="Compact"/>
        <w:numPr>
          <w:ilvl w:val="0"/>
          <w:numId w:val="1004"/>
        </w:numPr>
      </w:pPr>
      <w:r>
        <w:t xml:space="preserve">การเพิ่มข้อมูลหลักเกณฑ์ ให้ทำการใช้เมาส์คลิก</w:t>
      </w:r>
      <w:r>
        <w:drawing>
          <wp:inline>
            <wp:extent cx="198226" cy="217409"/>
            <wp:effectExtent b="0" l="0" r="0" t="0"/>
            <wp:docPr descr="close" title="" id="108" name="Picture"/>
            <a:graphic>
              <a:graphicData uri="http://schemas.openxmlformats.org/drawingml/2006/picture">
                <pic:pic>
                  <pic:nvPicPr>
                    <pic:cNvPr descr="images/button/plus-green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 “เพิ่มหลักเกณฑ์”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save-blue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ระบบแสดงรายการหลักเกณฑ์ หรือหากต้องการปิดหน้าต่างหรือยกเลิกการเพิ่มข้อมูลรายการหลักเกณฑ์ให้ทำการใช้เมาส์คลิก</w:t>
      </w:r>
      <w:r>
        <w:drawing>
          <wp:inline>
            <wp:extent cx="180000" cy="19440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close-popup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ระบบทำการปิดหน้าต่างเพิ่มหลักเกณฑ์ทันที</w:t>
      </w:r>
    </w:p>
    <w:p>
      <w:pPr>
        <w:pStyle w:val="CaptionedFigure"/>
      </w:pPr>
      <w:r>
        <w:drawing>
          <wp:inline>
            <wp:extent cx="5943600" cy="2265064"/>
            <wp:effectExtent b="0" l="0" r="0" t="0"/>
            <wp:docPr descr="รูปภาพที่ 16 – 14 เพิ่มข้อมูลหลักเกณฑ์" title="" id="115" name="Picture"/>
            <a:graphic>
              <a:graphicData uri="http://schemas.openxmlformats.org/drawingml/2006/picture">
                <pic:pic>
                  <pic:nvPicPr>
                    <pic:cNvPr descr="images/admin/chapter16/14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50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14 เพิ่มข้อมูลหลักเกณฑ์</w:t>
      </w:r>
    </w:p>
    <w:p>
      <w:pPr>
        <w:pStyle w:val="BlockText"/>
      </w:pPr>
      <w:r>
        <w:t xml:space="preserve">หมายเลข 1 ช่องสำหรับคลิกเลือกข้อมูลกลุ่มงาน</w:t>
      </w:r>
      <w:r>
        <w:br/>
      </w:r>
      <w:r>
        <w:t xml:space="preserve">หมายเลข 2 ช่องสำหรับคลิกเลือกข้อมูลตำแหน่ง</w:t>
      </w:r>
      <w:r>
        <w:br/>
      </w:r>
      <w:r>
        <w:t xml:space="preserve">หมายเลข 3 ช่องสำหรับคลิกเลือกข้อมูลระดับชั้นงาน</w:t>
      </w:r>
      <w:r>
        <w:br/>
      </w:r>
      <w:r>
        <w:t xml:space="preserve">หมายเลข 4 ช่องสำหรับคลิกเพื่อกรอกข้อมูลหมายเหตุ</w:t>
      </w:r>
      <w:r>
        <w:br/>
      </w:r>
      <w:r>
        <w:t xml:space="preserve">หมายเลข 5 ช่องสำหรับคลิกเพื่อกรอกข้อมูลจำนวนเงินขั้นต่ำสุด</w:t>
      </w:r>
      <w:r>
        <w:br/>
      </w:r>
      <w:r>
        <w:t xml:space="preserve">หมายเลข 6 ช่องสำหรับคลิกเลือกข้อมูลกลุ่มของผังบัญชีอัตราค่าจ้าง</w:t>
      </w:r>
      <w:r>
        <w:br/>
      </w:r>
      <w:r>
        <w:t xml:space="preserve">หมายเลข 7 ช่องสำหรับคลิกเพื่อกรอกข้อมูลจำนวนเงินขั้นสูงสุดเดิม</w:t>
      </w:r>
      <w:r>
        <w:br/>
      </w:r>
      <w:r>
        <w:t xml:space="preserve">หมายเลข 8 ช่องสำหรับคลิกเลือกข้อมูลกลุ่มบัญชีค่าจ้าง</w:t>
      </w:r>
      <w:r>
        <w:br/>
      </w:r>
      <w:r>
        <w:t xml:space="preserve">หมายเลข 9 ช่องสำหรับคลิกเพื่อกรอกข้อมูลจำนวนเงินอัตราค่าจ้างขั้นสูงใหม่</w:t>
      </w:r>
      <w:r>
        <w:br/>
      </w:r>
      <w:r>
        <w:t xml:space="preserve">หมายเลข 10 ปุ่มสำหรับคลิกเพื่อบันทึกข้อมูลรายการหลักเกณฑ์</w:t>
      </w:r>
      <w:r>
        <w:br/>
      </w:r>
      <w:r>
        <w:t xml:space="preserve">หมายเลข 11 ไอคอนสำหรับคลิกเพื่อปิดหน้าต่างหรือยกเลิกการเพิ่มข้อมูลหลักเกณฑ์</w:t>
      </w:r>
    </w:p>
    <w:p>
      <w:pPr>
        <w:pStyle w:val="CaptionedFigure"/>
      </w:pPr>
      <w:r>
        <w:drawing>
          <wp:inline>
            <wp:extent cx="5943600" cy="2904156"/>
            <wp:effectExtent b="0" l="0" r="0" t="0"/>
            <wp:docPr descr="รูปภาพที่ 16 – 15 รายการหลักเกณฑ์" title="" id="118" name="Picture"/>
            <a:graphic>
              <a:graphicData uri="http://schemas.openxmlformats.org/drawingml/2006/picture">
                <pic:pic>
                  <pic:nvPicPr>
                    <pic:cNvPr descr="images/admin/chapter16/15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4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15 รายการหลักเกณฑ์</w:t>
      </w:r>
    </w:p>
    <w:p>
      <w:pPr>
        <w:pStyle w:val="BlockText"/>
      </w:pPr>
      <w:r>
        <w:t xml:space="preserve">หมายเลข 1 เมนู “หลักเกณฑ์”</w:t>
      </w:r>
      <w:r>
        <w:br/>
      </w:r>
      <w:r>
        <w:t xml:space="preserve">หมายเลข 2 ไอคอนสำหรับคลิกเพื่อเพิ่มข้อมูลรายการหลักเกณฑ์</w:t>
      </w:r>
      <w:r>
        <w:br/>
      </w:r>
      <w:r>
        <w:t xml:space="preserve">หมายเลข 3 ช่องสำหรับแสดงข้อมูลรายการหลักเกณฑ์</w:t>
      </w:r>
      <w:r>
        <w:br/>
      </w:r>
      <w:r>
        <w:t xml:space="preserve">หมายเลข 4 ไอคอนสำหรับคลิกเพื่อแสดงเมนูย่อย แก้ไข ลบ</w:t>
      </w:r>
      <w:r>
        <w:br/>
      </w:r>
      <w:r>
        <w:t xml:space="preserve">หมายเลข 5 ช่องสำหรับคลิกเพื่อเลือกกลุ่มงานแสดงรายการหลักเกณฑ์ของกลุ่มงานที่ทำการคลิกเลือก</w:t>
      </w:r>
      <w:r>
        <w:br/>
      </w:r>
      <w:r>
        <w:t xml:space="preserve">หมายเลข 6 ช่องสำหรับคลิกเพื่อกรอกข้อมูลค้นหารายการหลักเกณฑ์</w:t>
      </w:r>
    </w:p>
    <w:bookmarkEnd w:id="120"/>
    <w:bookmarkEnd w:id="12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14" Target="media/rId114.png" /><Relationship Type="http://schemas.openxmlformats.org/officeDocument/2006/relationships/image" Id="rId117" Target="media/rId117.png" /><Relationship Type="http://schemas.openxmlformats.org/officeDocument/2006/relationships/image" Id="rId28" Target="media/rId28.png" /><Relationship Type="http://schemas.openxmlformats.org/officeDocument/2006/relationships/image" Id="rId81" Target="media/rId81.png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56" Target="media/rId56.png" /><Relationship Type="http://schemas.openxmlformats.org/officeDocument/2006/relationships/image" Id="rId48" Target="media/rId48.png" /><Relationship Type="http://schemas.openxmlformats.org/officeDocument/2006/relationships/image" Id="rId45" Target="media/rId45.png" /><Relationship Type="http://schemas.openxmlformats.org/officeDocument/2006/relationships/image" Id="rId78" Target="media/rId78.png" /><Relationship Type="http://schemas.openxmlformats.org/officeDocument/2006/relationships/image" Id="rId61" Target="media/rId61.png" /><Relationship Type="http://schemas.openxmlformats.org/officeDocument/2006/relationships/image" Id="rId34" Target="media/rId34.png" /><Relationship Type="http://schemas.openxmlformats.org/officeDocument/2006/relationships/image" Id="rId75" Target="media/rId75.png" /><Relationship Type="http://schemas.openxmlformats.org/officeDocument/2006/relationships/image" Id="rId37" Target="media/rId37.png" /><Relationship Type="http://schemas.openxmlformats.org/officeDocument/2006/relationships/image" Id="rId66" Target="media/rId66.png" /><Relationship Type="http://schemas.openxmlformats.org/officeDocument/2006/relationships/image" Id="rId86" Target="media/rId86.png" /><Relationship Type="http://schemas.openxmlformats.org/officeDocument/2006/relationships/image" Id="rId19" Target="media/rId19.png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51" Target="media/rId51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2025-06-16T04:28:53Z</dcterms:created>
  <dcterms:modified xsi:type="dcterms:W3CDTF">2025-06-16T04:28:53Z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