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19.png" ContentType="image/png"/>
  <Override PartName="/word/media/rId28.png" ContentType="image/png"/>
  <Override PartName="/word/media/rId42.png" ContentType="image/png"/>
  <Override PartName="/word/media/rId25.png" ContentType="image/png"/>
  <Override PartName="/word/media/rId34.png" ContentType="image/png"/>
  <Override PartName="/word/media/rId39.png" ContentType="image/png"/>
  <Override PartName="/word/media/rId22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45" w:name="สรปผลการพจารณาความผดทางวนย"/>
    <w:p>
      <w:pPr>
        <w:pStyle w:val="Heading1"/>
      </w:pPr>
      <w:r>
        <w:t xml:space="preserve">สรุปผลการพิจารณาความผิดทางวินัย</w:t>
      </w:r>
    </w:p>
    <w:p>
      <w:pPr>
        <w:pStyle w:val="Compact"/>
        <w:numPr>
          <w:ilvl w:val="0"/>
          <w:numId w:val="1001"/>
        </w:numPr>
      </w:pPr>
      <w:r>
        <w:t xml:space="preserve">หลังจากรายการสอบสวนความผิดทางวินัยถูกส่งมายังขั้นตอนสรุปผลการพิจารณาความผิดทางวินัย ระบบจะแสดงรายการสรุปผลการพิจารณาความผิดทางวินัยในหน้า “รายการสรุปผลการพิจารณาความผิดทางวินัย” สถานะแสดง “กำลังสรุปผลการพิจารณา”</w:t>
      </w:r>
    </w:p>
    <w:p>
      <w:pPr>
        <w:pStyle w:val="CaptionedFigure"/>
      </w:pPr>
      <w:r>
        <w:drawing>
          <wp:inline>
            <wp:extent cx="5943600" cy="3193990"/>
            <wp:effectExtent b="0" l="0" r="0" t="0"/>
            <wp:docPr descr="รูปภาพที่ 14 – 22 รายการสรุปผลการพิจารณาความผิดทางวินัย" title="" id="20" name="Picture"/>
            <a:graphic>
              <a:graphicData uri="http://schemas.openxmlformats.org/drawingml/2006/picture">
                <pic:pic>
                  <pic:nvPicPr>
                    <pic:cNvPr descr="images/admin/chapter14-4/1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939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22 รายการสรุปผลการพิจารณาความผิดทางวินัย</w:t>
      </w:r>
    </w:p>
    <w:p>
      <w:pPr>
        <w:pStyle w:val="BlockText"/>
      </w:pPr>
      <w:r>
        <w:t xml:space="preserve">หมายเลข 1 ช่องสำหรับคลิกเลือกแสดงสถานะเพื่อดูรายการสรุปผลการพิจารณาความผิดทางวินัย</w:t>
      </w:r>
      <w:r>
        <w:br/>
      </w:r>
      <w:r>
        <w:t xml:space="preserve">หมายเลข 2 ช่องสำหรับแสดงรายการสรุปผลการพิจารณาความผิดทางวินัยทั้งหมด</w:t>
      </w:r>
      <w:r>
        <w:br/>
      </w:r>
      <w:r>
        <w:t xml:space="preserve">หมายเลข 3 ไอคอนสำหรับคลิกเพื่อแสดงรายละเอียดข้อมูลและไอคอนสำหรับคลิกเพื่อแก้ไขข้อมูลรายการสรุปผลการพิจารณาความผิดทางวินัย</w:t>
      </w:r>
      <w:r>
        <w:br/>
      </w:r>
      <w:r>
        <w:t xml:space="preserve">หมายเลข 4 ช่องสำหรับคลิกกรอกและคลิกเลือกเพื่อแสดงข้อมูลรายการสรุปผลการพิจารณาความผิดทางวินัย</w:t>
      </w:r>
    </w:p>
    <w:p>
      <w:pPr>
        <w:pStyle w:val="Compact"/>
        <w:numPr>
          <w:ilvl w:val="0"/>
          <w:numId w:val="1002"/>
        </w:numPr>
      </w:pPr>
      <w:r>
        <w:t xml:space="preserve">การเพิ่มข้อมูลผลการพิจารณาความผิดทางวินัย ให้ทำการใช้เมาส์คลิกรายการสรุปผลการพิจารณาความผิดทางวินัยที่ต้องการ ระบบแสดงหน้า “แก้ไขผลการพิจารณาความผิดทางวินัย” โดยหน้านี้จะแสดงเมนูเรื่องร้องเรียน (สำเนา) ข้อมูลการร้องเรียน, สืบสวนข้อเท็จจริง (สำเนา) ข้อมูลการสืบสวนข้อเท็จจริง, สอบสวนความผิดทางวินัย (สำเนา) ข้อมูลการสอบสวนความผิดทางวินัยที่ทำการบันทึกโดยที่สามารถคลิกเข้าไปดูรายละเอียดการบันทึกข้อมูลแต่ละขั้นตอนได้ และหน้าผลการพิจารณาทางวินัยให้ทำการกรอกข้อมูลสรุปผลการพิจารณา หากทำการกรอกข้อมูลเสร็จสิ้น ให้ทำการคลิกปุ่ม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23" name="Picture"/>
            <a:graphic>
              <a:graphicData uri="http://schemas.openxmlformats.org/drawingml/2006/picture">
                <pic:pic>
                  <pic:nvPicPr>
                    <pic:cNvPr descr="images/button/save-blue2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เพื่อบันทึกผลการพิจารณาความผิดทางวินัยหรือหากต้องการยกเลิกการบันทึกให้ทำการคลิก</w:t>
      </w:r>
      <w:r>
        <w:t xml:space="preserve"> </w:t>
      </w:r>
      <w:r>
        <w:drawing>
          <wp:inline>
            <wp:extent cx="136800" cy="122400"/>
            <wp:effectExtent b="0" l="0" r="0" t="0"/>
            <wp:docPr descr="close" title="" id="26" name="Picture"/>
            <a:graphic>
              <a:graphicData uri="http://schemas.openxmlformats.org/drawingml/2006/picture">
                <pic:pic>
                  <pic:nvPicPr>
                    <pic:cNvPr descr="images/button/arrow-left-green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ระบบจะกลับไปยังหน้าตารางรายงานสรุปผลการพิจารณาความผิดทางวินัยทันที</w:t>
      </w:r>
    </w:p>
    <w:p>
      <w:pPr>
        <w:pStyle w:val="CaptionedFigure"/>
      </w:pPr>
      <w:r>
        <w:drawing>
          <wp:inline>
            <wp:extent cx="5943600" cy="2737628"/>
            <wp:effectExtent b="0" l="0" r="0" t="0"/>
            <wp:docPr descr="รูปภาพที่ 14 – 23 การเพิ่มข้อมูลผลการพิจารณาความผิดทางวินัย" title="" id="29" name="Picture"/>
            <a:graphic>
              <a:graphicData uri="http://schemas.openxmlformats.org/drawingml/2006/picture">
                <pic:pic>
                  <pic:nvPicPr>
                    <pic:cNvPr descr="images/admin/chapter14-4/2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376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23 การเพิ่มข้อมูลผลการพิจารณาความผิดทางวินัย</w:t>
      </w:r>
    </w:p>
    <w:p>
      <w:pPr>
        <w:pStyle w:val="BlockText"/>
      </w:pPr>
      <w:r>
        <w:t xml:space="preserve">หมายเลข 1 ช่องแสดงเมนู เรื่องร้องเรียน (สำเนา)</w:t>
      </w:r>
      <w:r>
        <w:br/>
      </w:r>
      <w:r>
        <w:t xml:space="preserve">หมายเลข 2 ช่องแสดงเมนู สืบสวนข้อเท็จจริง (สำเนา)</w:t>
      </w:r>
      <w:r>
        <w:br/>
      </w:r>
      <w:r>
        <w:t xml:space="preserve">หมายเลข 3 ช่องแสดงเมนู สอบสวนความผิดทางวินัย (สำเนา)</w:t>
      </w:r>
      <w:r>
        <w:br/>
      </w:r>
      <w:r>
        <w:t xml:space="preserve">หมายเลข 4 ช่องแสดงเมนู ผลการพิจารณาความผิดทางวินัย</w:t>
      </w:r>
      <w:r>
        <w:br/>
      </w:r>
      <w:r>
        <w:t xml:space="preserve">หมายเลข 5 ช่องสำหรับแสดงข้อมูลผู้ถูกร้องเรียน</w:t>
      </w:r>
      <w:r>
        <w:br/>
      </w:r>
      <w:r>
        <w:t xml:space="preserve">หมายเลข 6 ช่องสำหรับแสดงข้อมูลรายชื่อผู้ถูกร้องเรียน</w:t>
      </w:r>
      <w:r>
        <w:br/>
      </w:r>
      <w:r>
        <w:t xml:space="preserve">หมายเลข 7 ช่องสำหรับคลิกเพื่อกรอกข้อมูลสรุปผลการพิจารณา</w:t>
      </w:r>
      <w:r>
        <w:br/>
      </w:r>
      <w:r>
        <w:t xml:space="preserve">หมายเลข 8 ช่องสำหรับคลิกเพื่อกรอกข้อมูลประเภทวินัย</w:t>
      </w:r>
      <w:r>
        <w:br/>
      </w:r>
      <w:r>
        <w:t xml:space="preserve">หมายเลข 9 ช่องสำหรับคลิกเพื่อกรอกข้อมูลประเภทของเรื่อง</w:t>
      </w:r>
      <w:r>
        <w:br/>
      </w:r>
      <w:r>
        <w:t xml:space="preserve">หมายเลข 10 ช่องสำหรับคลิกเพื่อกรอกข้อมูลหน่วยงาน/ส่วนราชการ</w:t>
      </w:r>
      <w:r>
        <w:br/>
      </w:r>
      <w:r>
        <w:t xml:space="preserve">หมายเลข 11 ช่องสำหรับคลิกเพื่อเลือกเพิ่มข้อมูลปีงบประมาณ</w:t>
      </w:r>
      <w:r>
        <w:br/>
      </w:r>
      <w:r>
        <w:t xml:space="preserve">หมายเลข 12 ช่องสำหรับคลิกเพื่ออัปโหลดไฟล์เอกสารหลักฐาน</w:t>
      </w:r>
      <w:r>
        <w:br/>
      </w:r>
      <w:r>
        <w:t xml:space="preserve">หมายเลข 13 ไอคอนสำหรับคลิกเพื่ออัปโหลดไฟล์เอกสารหลักฐาน</w:t>
      </w:r>
      <w:r>
        <w:br/>
      </w:r>
      <w:r>
        <w:t xml:space="preserve">หมายเลข 14 ช่องสำหรับแสดงรายการไฟล์เอกสารหลักฐานที่ทำการอัปโหลด</w:t>
      </w:r>
      <w:r>
        <w:br/>
      </w:r>
      <w:r>
        <w:t xml:space="preserve">หมายเลข 15 ไอคอนสำหรับดาวน์โหลดไฟล์เอกสารหลักฐาน และไอคอนสำหรับลบรายการไฟล์เอกสารหลักฐานที่ทำการอัปโหลด</w:t>
      </w:r>
      <w:r>
        <w:br/>
      </w:r>
      <w:r>
        <w:t xml:space="preserve">หมายเลข 16 ปุ่มสำหรับคลิกเพื่อบันทึกข้อมูลการสรุปผลการพิจารณาความผิดทางวินัย</w:t>
      </w:r>
      <w:r>
        <w:br/>
      </w:r>
      <w:r>
        <w:t xml:space="preserve">หมายเลข 17 ปุ่มสำหรับคลิกเพื่อส่งรายชื่อไปออกคำสั่งลงโทษทางวินัย</w:t>
      </w:r>
    </w:p>
    <w:p>
      <w:pPr>
        <w:numPr>
          <w:ilvl w:val="0"/>
          <w:numId w:val="1003"/>
        </w:numPr>
      </w:pPr>
      <w:r>
        <w:t xml:space="preserve">การส่งรายชื่อไปออกคำสั่งลงโทษทางวินัย ให้ทำการใช้เมาส์คลิกปุ่ม</w:t>
      </w:r>
      <w:r>
        <w:t xml:space="preserve"> </w:t>
      </w:r>
      <w:r>
        <w:drawing>
          <wp:inline>
            <wp:extent cx="789271" cy="259882"/>
            <wp:effectExtent b="0" l="0" r="0" t="0"/>
            <wp:docPr descr="close" title="" id="32" name="Picture"/>
            <a:graphic>
              <a:graphicData uri="http://schemas.openxmlformats.org/drawingml/2006/picture">
                <pic:pic>
                  <pic:nvPicPr>
                    <pic:cNvPr descr="images/button/send-command2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271" cy="2598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ระบบแสดงตาราง “ส่งไปออกคำสั่ง” ให้ทำการคลิกเลือก “ประเภทคำสั่ง” จากนั้นทำการคลิก</w:t>
      </w:r>
      <w:r>
        <w:t xml:space="preserve"> </w:t>
      </w:r>
      <w:r>
        <w:drawing>
          <wp:inline>
            <wp:extent cx="231006" cy="231006"/>
            <wp:effectExtent b="0" l="0" r="0" t="0"/>
            <wp:docPr descr="close" title="" id="35" name="Picture"/>
            <a:graphic>
              <a:graphicData uri="http://schemas.openxmlformats.org/drawingml/2006/picture">
                <pic:pic>
                  <pic:nvPicPr>
                    <pic:cNvPr descr="images/button/check-box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06" cy="231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เลือกรายชื่อที่ต้องการ หากทำการคลิกเลือกรายชื่อเสร็จสิ้น ให้ทำการใช้เมาส์คลิกปุ่ม</w:t>
      </w:r>
      <w:r>
        <w:t xml:space="preserve"> </w:t>
      </w:r>
      <w:r>
        <w:drawing>
          <wp:inline>
            <wp:extent cx="789271" cy="259882"/>
            <wp:effectExtent b="0" l="0" r="0" t="0"/>
            <wp:docPr descr="close" title="" id="37" name="Picture"/>
            <a:graphic>
              <a:graphicData uri="http://schemas.openxmlformats.org/drawingml/2006/picture">
                <pic:pic>
                  <pic:nvPicPr>
                    <pic:cNvPr descr="images/button/send-command2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271" cy="2598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ในตาราง “ส่งไปออกคำสั่ง” เพื่อส่งรายชื่อไปออกคำสั่ง หลังจากคลิกส่งรายชื่อไปออกคำสั่ง รายชื่อจะแสดงในรายงานออกคำสั่ง เมนู “ออกคำสั่งลงโทษทางวินัย” หรือหากต้องการยกเลิกการส่งรายชื่อไปออกคำสั่ง 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40" name="Picture"/>
            <a:graphic>
              <a:graphicData uri="http://schemas.openxmlformats.org/drawingml/2006/picture">
                <pic:pic>
                  <pic:nvPicPr>
                    <pic:cNvPr descr="images/button/close-popup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ระบบจะทำการปิดหน้าต่างส่งไปออกคำสั่งทันที ปัจจุบันประเภทคำสั่งลงโทษทางวินัยมี 10 ประเภทคำสั่ง ได้แก่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  1.)  คำสั่งปลดออกจากราชการ</w:t>
      </w:r>
      <w:r>
        <w:br/>
      </w:r>
      <w:r>
        <w:rPr>
          <w:rStyle w:val="VerbatimChar"/>
        </w:rPr>
        <w:t xml:space="preserve">  2.)  คำสั่งไล่ออกจากราชการ</w:t>
      </w:r>
      <w:r>
        <w:br/>
      </w:r>
      <w:r>
        <w:rPr>
          <w:rStyle w:val="VerbatimChar"/>
        </w:rPr>
        <w:t xml:space="preserve">  3.)  คำสั่งพักจากราชการ</w:t>
      </w:r>
      <w:r>
        <w:br/>
      </w:r>
      <w:r>
        <w:rPr>
          <w:rStyle w:val="VerbatimChar"/>
        </w:rPr>
        <w:t xml:space="preserve">  4.)  คำสั่งให้ออกจากราชการไว้ก่อน</w:t>
      </w:r>
      <w:r>
        <w:br/>
      </w:r>
      <w:r>
        <w:rPr>
          <w:rStyle w:val="VerbatimChar"/>
        </w:rPr>
        <w:t xml:space="preserve">  5.)  คำสั่งลงโทษ ภาคทัณฑ์</w:t>
      </w:r>
      <w:r>
        <w:br/>
      </w:r>
      <w:r>
        <w:rPr>
          <w:rStyle w:val="VerbatimChar"/>
        </w:rPr>
        <w:t xml:space="preserve">  6.)  คำสั่งลงโทษ ตัดเงินเดือน</w:t>
      </w:r>
      <w:r>
        <w:br/>
      </w:r>
      <w:r>
        <w:rPr>
          <w:rStyle w:val="VerbatimChar"/>
        </w:rPr>
        <w:t xml:space="preserve">  7.)  คำสั่งลงโทษ ลดขั้นเงินเดือน</w:t>
      </w:r>
      <w:r>
        <w:br/>
      </w:r>
      <w:r>
        <w:rPr>
          <w:rStyle w:val="VerbatimChar"/>
        </w:rPr>
        <w:t xml:space="preserve">  8.)  คำสั่งเพิ่มโทษ</w:t>
      </w:r>
      <w:r>
        <w:br/>
      </w:r>
      <w:r>
        <w:rPr>
          <w:rStyle w:val="VerbatimChar"/>
        </w:rPr>
        <w:t xml:space="preserve">  9.)  คำสั่งงดโทษ</w:t>
      </w:r>
      <w:r>
        <w:br/>
      </w:r>
      <w:r>
        <w:rPr>
          <w:rStyle w:val="VerbatimChar"/>
        </w:rPr>
        <w:t xml:space="preserve">  10.)  คำสั่งยุติเรื่อง</w:t>
      </w:r>
    </w:p>
    <w:p>
      <w:pPr>
        <w:pStyle w:val="CaptionedFigure"/>
      </w:pPr>
      <w:r>
        <w:drawing>
          <wp:inline>
            <wp:extent cx="5943600" cy="1727664"/>
            <wp:effectExtent b="0" l="0" r="0" t="0"/>
            <wp:docPr descr="รูปภาพที่ 14 – 24 การส่งรายชื่อไปออกคำสั่งลงโทษทางวินัย" title="" id="43" name="Picture"/>
            <a:graphic>
              <a:graphicData uri="http://schemas.openxmlformats.org/drawingml/2006/picture">
                <pic:pic>
                  <pic:nvPicPr>
                    <pic:cNvPr descr="images/admin/chapter14-4/3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276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24 การส่งรายชื่อไปออกคำสั่งลงโทษทางวินัย</w:t>
      </w:r>
    </w:p>
    <w:p>
      <w:pPr>
        <w:pStyle w:val="BlockText"/>
      </w:pPr>
      <w:r>
        <w:t xml:space="preserve">หมายเลข 1 ช่องสำหรับคลิกเลือกประเภทคำสั่ง</w:t>
      </w:r>
      <w:r>
        <w:br/>
      </w:r>
      <w:r>
        <w:t xml:space="preserve">หมายเลข 2 ช่องสำหรับคลิกเลือกรายชื่อเพื่อส่งไปออกคำสั่ง</w:t>
      </w:r>
      <w:r>
        <w:br/>
      </w:r>
      <w:r>
        <w:t xml:space="preserve">หมายเลข 3 ช่องสำหรับแสดงรายชื่อผู้ถูกร้องเรียนทั้งหมดเพื่อส่งไปออกคำสั่ง</w:t>
      </w:r>
      <w:r>
        <w:br/>
      </w:r>
      <w:r>
        <w:t xml:space="preserve">หมายเลข 4 ปุ่มสำหรับคลิกเพื่อส่งรายชื่อที่ทำการคลิกเลือกไปออกคำสั่ง</w:t>
      </w:r>
      <w:r>
        <w:br/>
      </w:r>
      <w:r>
        <w:t xml:space="preserve">หมายเลข 5 ช่องสำหรับคลิกกรอกและคลิกเลือกเพื่อค้นหารายชื่อเพื่อคลิกเลือกส่งไปออกคำสั่ง</w:t>
      </w:r>
      <w:r>
        <w:br/>
      </w:r>
      <w:r>
        <w:t xml:space="preserve">หมายเลข 6 ไอคอนสำหรับคลิกเพื่อยกเลิกการส่งรายชื่อไปออกคำสั่ง</w:t>
      </w:r>
    </w:p>
    <w:bookmarkEnd w:id="45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19" Target="media/rId19.png" /><Relationship Type="http://schemas.openxmlformats.org/officeDocument/2006/relationships/image" Id="rId28" Target="media/rId28.png" /><Relationship Type="http://schemas.openxmlformats.org/officeDocument/2006/relationships/image" Id="rId42" Target="media/rId42.png" /><Relationship Type="http://schemas.openxmlformats.org/officeDocument/2006/relationships/image" Id="rId25" Target="media/rId25.png" /><Relationship Type="http://schemas.openxmlformats.org/officeDocument/2006/relationships/image" Id="rId34" Target="media/rId34.png" /><Relationship Type="http://schemas.openxmlformats.org/officeDocument/2006/relationships/image" Id="rId39" Target="media/rId39.png" /><Relationship Type="http://schemas.openxmlformats.org/officeDocument/2006/relationships/image" Id="rId22" Target="media/rId22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2025-06-16T04:28:50Z</dcterms:created>
  <dcterms:modified xsi:type="dcterms:W3CDTF">2025-06-16T04:28:50Z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