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40.png" ContentType="image/png"/>
  <Override PartName="/word/media/rId49.png" ContentType="image/png"/>
  <Override PartName="/word/media/rId62.png" ContentType="image/png"/>
  <Override PartName="/word/media/rId75.png" ContentType="image/png"/>
  <Override PartName="/word/media/rId57.png" ContentType="image/png"/>
  <Override PartName="/word/media/rId34.png" ContentType="image/png"/>
  <Override PartName="/word/media/rId31.png" ContentType="image/png"/>
  <Override PartName="/word/media/rId37.png" ContentType="image/png"/>
  <Override PartName="/word/media/rId25.png" ContentType="image/png"/>
  <Override PartName="/word/media/rId65.png" ContentType="image/png"/>
  <Override PartName="/word/media/rId22.png" ContentType="image/png"/>
  <Override PartName="/word/media/rId52.png" ContentType="image/png"/>
  <Override PartName="/word/media/rId43.png" ContentType="image/png"/>
  <Override PartName="/word/media/rId46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8" w:name="สบสวนขอเทจจรง"/>
    <w:p>
      <w:pPr>
        <w:pStyle w:val="Heading1"/>
      </w:pPr>
      <w:r>
        <w:t xml:space="preserve">สืบสวนข้อเท็จจริง</w:t>
      </w:r>
    </w:p>
    <w:p>
      <w:pPr>
        <w:pStyle w:val="Compact"/>
        <w:numPr>
          <w:ilvl w:val="0"/>
          <w:numId w:val="1001"/>
        </w:numPr>
      </w:pPr>
      <w:r>
        <w:t xml:space="preserve">หลังจากรายการเรื่องร้องเรียนถูกส่งมายังขั้นตอนการสืบสวนข้อเท็จจริง ระบบจะแสดงรายการสืบสวนข้อเท็จจริงในหน้า “รายการสืบสวนข้อเท็จจริง” สถานะแสดง “กำลังสืบสวน”</w:t>
      </w:r>
    </w:p>
    <w:p>
      <w:pPr>
        <w:pStyle w:val="CaptionedFigure"/>
      </w:pPr>
      <w:r>
        <w:drawing>
          <wp:inline>
            <wp:extent cx="5943600" cy="3975193"/>
            <wp:effectExtent b="0" l="0" r="0" t="0"/>
            <wp:docPr descr="รูปภาพที่ 17 – 8 รายการสืบสวนข้อเท็จจริง" title="" id="20" name="Picture"/>
            <a:graphic>
              <a:graphicData uri="http://schemas.openxmlformats.org/drawingml/2006/picture">
                <pic:pic>
                  <pic:nvPicPr>
                    <pic:cNvPr descr="images/admin/chapter17-2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5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8 รายการสืบสวนข้อเท็จจริง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ช่องสำหรับคลิกเลือกสถานะเพื่อแสดงรายการสืบสวนข้อเท็จจริง</w:t>
      </w:r>
      <w:r>
        <w:br/>
      </w:r>
      <w:r>
        <w:t xml:space="preserve">หมายเลข 2 ช่องสำหรับแสดงรายการสืบสวนข้อเท็จจริงทั้งหมด</w:t>
      </w:r>
      <w:r>
        <w:br/>
      </w:r>
      <w:r>
        <w:t xml:space="preserve">หมายเลข 3 ไอคอนสำหรับคลิกเพื่อแสดงรายละเอียดและไอคอนสำหรับคลิกเพื่อแก้ไขข้อมูลรายการสืบสวนข้อเท็จจริง</w:t>
      </w:r>
      <w:r>
        <w:br/>
      </w:r>
      <w:r>
        <w:t xml:space="preserve">หมายเลข 4 ช่องสำหรับคลิกเพื่อกรอกข้อมูลค้นหารายการสืบสวนข้อเท็จจริง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การเพิ่มรายละเอียดการสืบสวนข้อเท็จจริง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ในรายการสืบสวนข้อเท็จจริง ที่มีสถานะ “กำลังสืบสวน” รายละเอียดเรื่องร้องเรียน (สำเนา) ที่สร้างมาจากเมนูเรื่องร้องเรียนจะปรากฏในรายละเอียดแก้ไขรายการสืบสวนข้อเท็จจริงด้วย สามารถคลิก</w:t>
      </w:r>
      <w:r>
        <w:t xml:space="preserve"> </w:t>
      </w:r>
      <w:r>
        <w:drawing>
          <wp:inline>
            <wp:extent cx="1395663" cy="35613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omplain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63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จากนั้นทำการกรอกข้อมูลการสืบสวนให้ครบตามที่ระบบแนะนำแล้วทำการบันทึกข้อมูล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943600" cy="5750020"/>
            <wp:effectExtent b="0" l="0" r="0" t="0"/>
            <wp:docPr descr="รูปภาพที่ 17 – 9 แก้ไขรายการสืบสวนข้อเท็จจริง" title="" id="29" name="Picture"/>
            <a:graphic>
              <a:graphicData uri="http://schemas.openxmlformats.org/drawingml/2006/picture">
                <pic:pic>
                  <pic:nvPicPr>
                    <pic:cNvPr descr="images/admin/chapter17-2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50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9 แก้ไขรายการสืบสวนข้อเท็จจริง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</w:t>
      </w:r>
      <w:r>
        <w:br/>
      </w:r>
      <w:r>
        <w:t xml:space="preserve">หมายเลข 3 ช่องสำหรับแสดงแจ้งเตือน ยังไม่ได้บันทึกข้อมูล</w:t>
      </w:r>
      <w:r>
        <w:br/>
      </w:r>
      <w:r>
        <w:t xml:space="preserve">หมายเลข 4 ช่องสำหรับคลิกเลือกผู้ถูกร้องเรียน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  <w:r>
        <w:br/>
      </w:r>
      <w:r>
        <w:t xml:space="preserve">หมายเลข 6 ตารางสำหรับแสดงรายชื่อผู้ถูกร้องเรียน</w:t>
      </w:r>
      <w:r>
        <w:br/>
      </w:r>
      <w:r>
        <w:t xml:space="preserve">หมายเลข 7 ไอคอนสำหรับคลิกเพื่อเพิ่มรายชื่อผู้ถูกร้องเรียน</w:t>
      </w:r>
      <w:r>
        <w:br/>
      </w:r>
      <w:r>
        <w:t xml:space="preserve">หมายเลข 8 ไอคอนสำหรับคลิกเพื่อดูทะเบียนประวัติโดยย่อของผู้ถูกร้องเรียน</w:t>
      </w:r>
      <w:r>
        <w:br/>
      </w:r>
      <w:r>
        <w:t xml:space="preserve">หมายเลข 9 ปุ่มสำหรับคลิกส่งรายชื่อไปสอบสวนความผิดทางวินัย</w:t>
      </w:r>
      <w:r>
        <w:br/>
      </w:r>
      <w:r>
        <w:t xml:space="preserve">หมายเลข 10 ปุ่มสำหรับคลิกเพื่อยุติเรื่องสอบสวนความผิดทางวินัย</w:t>
      </w:r>
      <w:r>
        <w:br/>
      </w:r>
      <w:r>
        <w:t xml:space="preserve">หมายเลข 11 ตารางสำหรับอัปโหลดไฟล์เอกสารที่เกี่ยวข้องกับการสืบสวนข้อเท็จจริง</w:t>
      </w:r>
      <w:r>
        <w:br/>
      </w:r>
      <w:r>
        <w:t xml:space="preserve">หมายเลข 12 ช่องสำหรับคลิกเพื่อเลือกไฟล์สำหรับการอัปโหลด</w:t>
      </w:r>
      <w:r>
        <w:br/>
      </w:r>
      <w:r>
        <w:t xml:space="preserve">หมายเลข 13 ไอคอนสำหรับคลิกเพื่ออัปโหลดไฟล์</w:t>
      </w:r>
      <w:r>
        <w:br/>
      </w:r>
      <w:r>
        <w:t xml:space="preserve">หมายเลข 14 ตารางสำหรับอัปโหลดไฟล์เอกสารหลักฐานการสืบสวนข้อเท็จจริง</w:t>
      </w:r>
      <w:r>
        <w:br/>
      </w:r>
      <w:r>
        <w:t xml:space="preserve">หมายเลข 15 ช่องสำหรับแสดงรายการไฟล์ที่ทำการอัปโหลด</w:t>
      </w:r>
      <w:r>
        <w:br/>
      </w:r>
      <w:r>
        <w:t xml:space="preserve">หมายเลข 16 ไอคอนสำหรับคลิกเพื่อดาวน์โหลดเอกสารที่ทำการอัปโหลด</w:t>
      </w:r>
      <w:r>
        <w:br/>
      </w:r>
      <w:r>
        <w:t xml:space="preserve">หมายเลข 17 ไอคอนสำหรับคลิกเพื่อลบไฟล์เอกสารหลักฐานการสืบสวนข้อเท็จจริง</w:t>
      </w:r>
      <w:r>
        <w:br/>
      </w:r>
      <w:r>
        <w:t xml:space="preserve">หมายเลข 18 ช่องสำหรับคลิกเพื่อเลือกลักษณะการสืบสวนข้อเท็จจริง</w:t>
      </w:r>
      <w:r>
        <w:br/>
      </w:r>
      <w:r>
        <w:t xml:space="preserve">หมายเลข 19 ช่องสำหรับแสดงวันที่และขยายเวลาการสืบสวนข้อเท็จจริง</w:t>
      </w:r>
      <w:r>
        <w:br/>
      </w:r>
      <w:r>
        <w:t xml:space="preserve">หมายเลข 20 ตารางสำหรับเพิ่มรายชื่อกรรมการการสืบสวนข้อเท็จจริง</w:t>
      </w:r>
      <w:r>
        <w:br/>
      </w:r>
      <w:r>
        <w:t xml:space="preserve">หมายเลข 21 ช่องสำหรับคลิกเพื่อกรอกรายละเอียดการสืบสวนข้อเท็จจริง</w:t>
      </w:r>
      <w:r>
        <w:br/>
      </w:r>
      <w:r>
        <w:t xml:space="preserve">หมายเลข 22 ช่องสำหรับคลิกเลือกผลการสืบสวนข้อเท็จจริง</w:t>
      </w:r>
      <w:r>
        <w:br/>
      </w:r>
      <w:r>
        <w:t xml:space="preserve">หมายเลข 23 ช่องสำหรับคลิกเลือกร้ายแรง/ไม่ร้ายแรง กรณีผลการสืบสวนมีมูล</w:t>
      </w:r>
      <w:r>
        <w:br/>
      </w:r>
      <w:r>
        <w:t xml:space="preserve">หมายเลข 24 ช่องสำหรับคลิกเพื่อกรอกเหตุผลการสืบสวนข้อเท็จจริง</w:t>
      </w:r>
      <w:r>
        <w:br/>
      </w:r>
      <w:r>
        <w:t xml:space="preserve">หมายเลข 25 ปุ่มสำหรับคลิกเพื่อบันทึกข้อมูลการสืบสวนข้อเท็จจริง</w:t>
      </w:r>
    </w:p>
    <w:p>
      <w:pPr>
        <w:pStyle w:val="Compact"/>
        <w:numPr>
          <w:ilvl w:val="0"/>
          <w:numId w:val="1003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heck-box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alender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 “ปฏิทินแสดงวันที่สืบสวน” 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close-popup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ในการขยายเวลาการสืบสวนข้อเท็จจริง หากวันที่เริ่มการสืบสวนจนถึงวันที่สิ้นสุดการสืบสวนมีระยะเวลาการสอบสวนน้อยกว่า 7 วัน ระบบจะทำการแจ้งเตือนสีแดงในช่อง “วันที่สิ้นสุดการสอบสวน” 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943600" cy="1719942"/>
            <wp:effectExtent b="0" l="0" r="0" t="0"/>
            <wp:docPr descr="รูปภาพที่ 17 – 10 ขยายเวลาการสืบสวนข้อเท็จจริง" title="" id="41" name="Picture"/>
            <a:graphic>
              <a:graphicData uri="http://schemas.openxmlformats.org/drawingml/2006/picture">
                <pic:pic>
                  <pic:nvPicPr>
                    <pic:cNvPr descr="images/admin/chapter17-2/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9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10 ขยายเวลาการสืบสวนข้อเท็จจริง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ช่องสำหรับคลิกเพื่อขยายเวลาการสืบสวนข้อเท็จจริง</w:t>
      </w:r>
      <w:r>
        <w:t xml:space="preserve"> </w:t>
      </w:r>
      <w:r>
        <w:t xml:space="preserve">หมายเลข 2 ช่องสำหรับคลิกเลือกจำนวนวันที่ที่ต้องการเวลาการสืบสวนข้อเท็จจริง</w:t>
      </w:r>
      <w:r>
        <w:t xml:space="preserve"> </w:t>
      </w:r>
      <w:r>
        <w:t xml:space="preserve">หมายเลข 3 ช่องสำหรับแสดงวันที่ที่สิ้นสุดการสืบสวนข้อเท็จจริงตามจำนวนวันที่คลิกเลือก</w:t>
      </w:r>
      <w:r>
        <w:t xml:space="preserve"> </w:t>
      </w:r>
      <w:r>
        <w:t xml:space="preserve">หมายเลข 4 ช่องสำหรับแสดงรายการขยายเวลาการสืบสวนข้อเท็จจริง</w:t>
      </w:r>
      <w:r>
        <w:t xml:space="preserve"> </w:t>
      </w:r>
      <w:r>
        <w:t xml:space="preserve">หมายเลข 5 ไอคอนสำหรับคลิกเพื่อดูปฏิทินแสดงวันที่เริ่มสืบสวนรวมถึงวันที่การขยายเวลาการสืบสวน</w:t>
      </w:r>
    </w:p>
    <w:p>
      <w:pPr>
        <w:pStyle w:val="Compact"/>
        <w:numPr>
          <w:ilvl w:val="0"/>
          <w:numId w:val="1004"/>
        </w:numPr>
      </w:pPr>
      <w:r>
        <w:t xml:space="preserve">การส่งรายชื่อไปออกคำสั่งเพื่อยุติเรื่องหากทำการสืบสวนข้อเท็จจริงแล้วพบว่ามีบุคคลที่ไม่เกี่ยวข้องกับการกระทำความผิดก็สามารถทำการส่งรายชื่อเพื่อออกคำสั่งยุติเรื่อง โดยให้ทำการใช้เมาส์คลิกที่ปุ่ม</w:t>
      </w:r>
      <w:r>
        <w:t xml:space="preserve"> </w:t>
      </w:r>
      <w:r>
        <w:drawing>
          <wp:inline>
            <wp:extent cx="1280160" cy="317633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end-end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“ส่งรายชื่อไปออกคำสั่งยุติเรื่อง” ให้ทำการคลิกเลือกรายชื่อผู้ที่ไม่เกี่ยวข้องกับการกระทำความผิดเพื่อส่งไปออกคำสั่งยุติเรื่อง หากทำการคลิกเลือกรายชื่อเสร็จสิ้นเรียบร้อย ให้ทำการใช้เมาส์คลิกที่ปุ่ม</w:t>
      </w:r>
      <w:r>
        <w:t xml:space="preserve"> </w:t>
      </w:r>
      <w:r>
        <w:drawing>
          <wp:inline>
            <wp:extent cx="1511166" cy="327258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end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66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ยืนยันการส่งรายชื่อไปออกคำสั่งยุติเรื่อง หลังจากทำการคลิกยืนยันรายชื่อจะถูกส่งไปยังเมนู “ออกคำสั่งลงโทษทางวินัย”</w:t>
      </w:r>
    </w:p>
    <w:p>
      <w:pPr>
        <w:pStyle w:val="CaptionedFigure"/>
      </w:pPr>
      <w:r>
        <w:drawing>
          <wp:inline>
            <wp:extent cx="5943600" cy="2796048"/>
            <wp:effectExtent b="0" l="0" r="0" t="0"/>
            <wp:docPr descr="รูปภาพที่ 17 – 11 ส่งรายชื่อไปออกคำสั่งยุติเรื่อง" title="" id="50" name="Picture"/>
            <a:graphic>
              <a:graphicData uri="http://schemas.openxmlformats.org/drawingml/2006/picture">
                <pic:pic>
                  <pic:nvPicPr>
                    <pic:cNvPr descr="images/admin/chapter17-2/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6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11 ส่งรายชื่อไปออกคำสั่งยุติเรื่อง</w:t>
      </w:r>
    </w:p>
    <w:p>
      <w:pPr>
        <w:pStyle w:val="BlockText"/>
      </w:pPr>
      <w:r>
        <w:t xml:space="preserve">หมายเลข 1 ช่องสำหรับคลิกเลือกรายชื่อไปออกคำสั่งยุติเรื่อง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ช่องสำหรับคลิกกรอกและคลิกเลือกเพื่อค้นหารายชื่อผู้ถูกร้องเรียนไปออกคำสั่งยุติเรื่อง</w:t>
      </w:r>
      <w:r>
        <w:br/>
      </w:r>
      <w:r>
        <w:t xml:space="preserve">หมายเลข 4 ไอคอนสำหรับคลิกเพื่อยกเลิกการเลือกรายชื่อไปออกคำสั่งยุติเรื่อง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</w:p>
    <w:p>
      <w:pPr>
        <w:pStyle w:val="Compact"/>
        <w:numPr>
          <w:ilvl w:val="0"/>
          <w:numId w:val="1005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plus-green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“รายชื่อกรรมการ” ระบบแสดงตาราง “เลือกรายชื่อกรรมการ” จากนั้นทำการใช้เมาส์คลิก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heck-box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1010652" cy="298383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add-name-director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2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close-popup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pStyle w:val="CaptionedFigure"/>
      </w:pPr>
      <w:r>
        <w:drawing>
          <wp:inline>
            <wp:extent cx="5943600" cy="2511600"/>
            <wp:effectExtent b="0" l="0" r="0" t="0"/>
            <wp:docPr descr="รูปภาพที่ 17 – 12 เลือกรายชื่อกรรมการ" title="" id="63" name="Picture"/>
            <a:graphic>
              <a:graphicData uri="http://schemas.openxmlformats.org/drawingml/2006/picture">
                <pic:pic>
                  <pic:nvPicPr>
                    <pic:cNvPr descr="images/admin/chapter17-2/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12 เลือกรายชื่อกรรมการ</w:t>
      </w:r>
    </w:p>
    <w:p>
      <w:pPr>
        <w:pStyle w:val="BlockText"/>
      </w:pPr>
      <w:r>
        <w:t xml:space="preserve">หมายเลข 1 ช่องสำหรับคลิกกรอกเพื่อค้นหารายชื่อกรรมการ</w:t>
      </w:r>
      <w:r>
        <w:br/>
      </w:r>
      <w:r>
        <w:t xml:space="preserve">หมายเลข 2 ช่องสำหรับคลิกเลือกรายชื่อกรรมการ</w:t>
      </w:r>
      <w:r>
        <w:br/>
      </w:r>
      <w:r>
        <w:t xml:space="preserve">หมายเลข 3 ช่องสำหรับแสดงรายชื่อกรรมการทั้งหมด</w:t>
      </w:r>
      <w:r>
        <w:br/>
      </w:r>
      <w:r>
        <w:t xml:space="preserve">หมายเลข 4 ปุ่มสำหรับคลิกเพื่อเพิ่มรายชื่อกรรมการที่ทำการคลิกเลือกรายชื่อ</w:t>
      </w:r>
      <w:r>
        <w:br/>
      </w:r>
      <w:r>
        <w:t xml:space="preserve">หมายเลข 5 ไอคอนสำหรับคลิกเพื่อยกเลิกการเพิ่มรายชื่อกรรมการ</w:t>
      </w:r>
    </w:p>
    <w:p>
      <w:pPr>
        <w:pStyle w:val="Compact"/>
        <w:numPr>
          <w:ilvl w:val="0"/>
          <w:numId w:val="1006"/>
        </w:numPr>
      </w:pPr>
      <w:r>
        <w:t xml:space="preserve">การยุติเรื่องและส่งรายชื่อไปสอบสวนความผิดทางวินัย หากผู้ใช้งานต้องการยุติเรื่องการสืบสวนข้อเท็จจริง ในตาราง “ผลการสืบสวน” ช่อง “ผลการสืบสวน” ต้องเลือกเป็น “ไม่มีมูล” เท่านั้นถึงจะสามารถยุติเรื่องได้ หากผลการสืบสวนเป็นไม่มีมูล ให้ทำการใช้เมาส์คลิกปุ่ม</w:t>
      </w:r>
      <w:r>
        <w:t xml:space="preserve"> </w:t>
      </w:r>
      <w:r>
        <w:drawing>
          <wp:inline>
            <wp:extent cx="654517" cy="327258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end-matter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17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สถานะจาก “กำลังสืบสวน” จะเปลี่ยนเป็น “ยุติเรื่อง” หรือหากต้องการส่งรายชื่อให้ทำการใช้เมาส์คลิกปุ่ม</w:t>
      </w:r>
      <w:r>
        <w:t xml:space="preserve"> </w:t>
      </w:r>
      <w:r>
        <w:drawing>
          <wp:inline>
            <wp:extent cx="798896" cy="279132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send-investigative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“ส่งไปสอบสวน” ทำการคลิกเลือกรายชื่อส่งไปสอบสวน หากทำการคลิกเลือกรายชื่อเสร็จสิ้น ทำการคลิกปุ่ม</w:t>
      </w:r>
      <w:r>
        <w:t xml:space="preserve"> </w:t>
      </w:r>
      <w:r>
        <w:drawing>
          <wp:inline>
            <wp:extent cx="798896" cy="279132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send-investigative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และยืนยันการส่งรายชื่อไปสอบสวน หากต้องการยกเลิกการส่งรายชื่อไปสอบสวน ให้ทำการคลิก</w:t>
      </w:r>
      <w:r>
        <w:drawing>
          <wp:inline>
            <wp:extent cx="180000" cy="1944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close-popup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ระบบจะทำการปิดหน้าต่างส่งไปสอบสวนทันที</w:t>
      </w:r>
    </w:p>
    <w:p>
      <w:pPr>
        <w:pStyle w:val="CaptionedFigure"/>
      </w:pPr>
      <w:r>
        <w:drawing>
          <wp:inline>
            <wp:extent cx="5943600" cy="2339752"/>
            <wp:effectExtent b="0" l="0" r="0" t="0"/>
            <wp:docPr descr="รูปภาพที่ 17 – 13 ส่งรายชื่อไปสอบสวนความผิดทางวินัย" title="" id="76" name="Picture"/>
            <a:graphic>
              <a:graphicData uri="http://schemas.openxmlformats.org/drawingml/2006/picture">
                <pic:pic>
                  <pic:nvPicPr>
                    <pic:cNvPr descr="images/admin/chapter17-2/6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9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13 ส่งรายชื่อไปสอบสวนความผิดทางวินัย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ช่องสำหรับคลิกเลือกรายชื่อส่งไปสอบสวนความผิดทางวินัย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ปุ่มสำหรับคลิกเพื่อส่งรายชื่อผู้ถูกร้องเรียนไปยังสอบสวนความผิดทางวินัย</w:t>
      </w:r>
      <w:r>
        <w:br/>
      </w:r>
      <w:r>
        <w:t xml:space="preserve">หมายเลข 5 ไอคอนสำหรับคลิกเพื่อยกเลิกการส่งรายชื่อผู้ถูกร้องเรียนไปยังสอบสวนความผิดทางวินัย</w:t>
      </w:r>
    </w:p>
    <w:bookmarkEnd w:id="7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40" Target="media/rId40.png" /><Relationship Type="http://schemas.openxmlformats.org/officeDocument/2006/relationships/image" Id="rId49" Target="media/rId49.png" /><Relationship Type="http://schemas.openxmlformats.org/officeDocument/2006/relationships/image" Id="rId62" Target="media/rId62.png" /><Relationship Type="http://schemas.openxmlformats.org/officeDocument/2006/relationships/image" Id="rId75" Target="media/rId75.png" /><Relationship Type="http://schemas.openxmlformats.org/officeDocument/2006/relationships/image" Id="rId57" Target="media/rId57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65" Target="media/rId65.png" /><Relationship Type="http://schemas.openxmlformats.org/officeDocument/2006/relationships/image" Id="rId22" Target="media/rId22.png" /><Relationship Type="http://schemas.openxmlformats.org/officeDocument/2006/relationships/image" Id="rId52" Target="media/rId52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